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46EFA">
      <w:pPr>
        <w:spacing w:line="560" w:lineRule="exact"/>
        <w:jc w:val="center"/>
        <w:rPr>
          <w:rFonts w:hint="eastAsia" w:ascii="宋体" w:hAnsi="宋体" w:eastAsia="宋体" w:cs="宋体"/>
          <w:b/>
          <w:sz w:val="44"/>
          <w:szCs w:val="44"/>
          <w:highlight w:val="none"/>
        </w:rPr>
      </w:pPr>
      <w:bookmarkStart w:id="0" w:name="_Toc463793344"/>
      <w:bookmarkStart w:id="1" w:name="_Toc339357476"/>
      <w:r>
        <w:rPr>
          <w:rFonts w:hint="eastAsia" w:ascii="宋体" w:hAnsi="宋体" w:eastAsia="宋体" w:cs="宋体"/>
          <w:b/>
          <w:sz w:val="44"/>
          <w:szCs w:val="44"/>
          <w:highlight w:val="none"/>
        </w:rPr>
        <w:t>宁夏绿源畜禽养殖有限公司</w:t>
      </w:r>
    </w:p>
    <w:p w14:paraId="7E28C297">
      <w:pPr>
        <w:spacing w:line="560" w:lineRule="exact"/>
        <w:jc w:val="center"/>
        <w:rPr>
          <w:rFonts w:hint="eastAsia" w:ascii="宋体" w:hAnsi="宋体" w:eastAsia="宋体" w:cs="宋体"/>
          <w:b/>
          <w:sz w:val="44"/>
          <w:szCs w:val="44"/>
          <w:highlight w:val="none"/>
        </w:rPr>
      </w:pPr>
      <w:r>
        <w:rPr>
          <w:rFonts w:hint="eastAsia" w:ascii="宋体" w:hAnsi="宋体" w:eastAsia="宋体" w:cs="宋体"/>
          <w:b/>
          <w:sz w:val="44"/>
          <w:szCs w:val="44"/>
          <w:highlight w:val="none"/>
        </w:rPr>
        <w:t>白马综合养殖基地</w:t>
      </w:r>
    </w:p>
    <w:p w14:paraId="4F9CAC18">
      <w:pPr>
        <w:spacing w:line="560" w:lineRule="exact"/>
        <w:jc w:val="center"/>
        <w:rPr>
          <w:rFonts w:hint="eastAsia" w:ascii="宋体" w:hAnsi="宋体" w:eastAsia="宋体" w:cs="宋体"/>
          <w:b/>
          <w:sz w:val="44"/>
          <w:szCs w:val="44"/>
          <w:highlight w:val="none"/>
        </w:rPr>
      </w:pPr>
      <w:r>
        <w:rPr>
          <w:rFonts w:hint="eastAsia" w:ascii="宋体" w:hAnsi="宋体" w:eastAsia="宋体" w:cs="宋体"/>
          <w:b/>
          <w:sz w:val="44"/>
          <w:szCs w:val="44"/>
          <w:highlight w:val="none"/>
          <w:lang w:val="en-US" w:eastAsia="zh-CN"/>
        </w:rPr>
        <w:t>10kv柱上变压器采购及施工</w:t>
      </w:r>
    </w:p>
    <w:p w14:paraId="479D09DF">
      <w:pPr>
        <w:spacing w:line="560" w:lineRule="exact"/>
        <w:jc w:val="center"/>
        <w:rPr>
          <w:rFonts w:hint="eastAsia" w:ascii="宋体" w:hAnsi="宋体" w:eastAsia="宋体" w:cs="宋体"/>
          <w:b/>
          <w:sz w:val="44"/>
          <w:szCs w:val="44"/>
          <w:highlight w:val="none"/>
        </w:rPr>
      </w:pPr>
    </w:p>
    <w:p w14:paraId="1FCCB119">
      <w:pPr>
        <w:adjustRightInd w:val="0"/>
        <w:snapToGrid w:val="0"/>
        <w:spacing w:line="360" w:lineRule="auto"/>
        <w:ind w:firstLine="1247"/>
        <w:jc w:val="center"/>
        <w:rPr>
          <w:rFonts w:cs="宋体-18030" w:asciiTheme="minorEastAsia" w:hAnsiTheme="minorEastAsia" w:eastAsiaTheme="minorEastAsia"/>
          <w:b/>
          <w:spacing w:val="100"/>
          <w:w w:val="150"/>
          <w:szCs w:val="28"/>
        </w:rPr>
      </w:pPr>
      <w:bookmarkStart w:id="2" w:name="_Toc10646026"/>
    </w:p>
    <w:p w14:paraId="08CDF7F7">
      <w:pPr>
        <w:adjustRightInd w:val="0"/>
        <w:snapToGrid w:val="0"/>
        <w:spacing w:line="360" w:lineRule="auto"/>
        <w:ind w:firstLine="1247"/>
        <w:jc w:val="center"/>
        <w:rPr>
          <w:rFonts w:cs="宋体-18030" w:asciiTheme="minorEastAsia" w:hAnsiTheme="minorEastAsia" w:eastAsiaTheme="minorEastAsia"/>
          <w:b/>
          <w:spacing w:val="100"/>
          <w:w w:val="150"/>
          <w:szCs w:val="28"/>
        </w:rPr>
      </w:pPr>
    </w:p>
    <w:p w14:paraId="54EA0551">
      <w:pPr>
        <w:adjustRightInd w:val="0"/>
        <w:snapToGrid w:val="0"/>
        <w:spacing w:line="360" w:lineRule="auto"/>
        <w:ind w:firstLine="1247"/>
        <w:jc w:val="center"/>
        <w:rPr>
          <w:rFonts w:cs="宋体-18030" w:asciiTheme="minorEastAsia" w:hAnsiTheme="minorEastAsia" w:eastAsiaTheme="minorEastAsia"/>
          <w:b/>
          <w:spacing w:val="100"/>
          <w:w w:val="150"/>
          <w:szCs w:val="28"/>
        </w:rPr>
      </w:pPr>
    </w:p>
    <w:p w14:paraId="66774425">
      <w:pPr>
        <w:adjustRightInd w:val="0"/>
        <w:snapToGrid w:val="0"/>
        <w:spacing w:line="360" w:lineRule="auto"/>
        <w:ind w:firstLine="1247"/>
        <w:jc w:val="center"/>
        <w:rPr>
          <w:rFonts w:cs="宋体-18030" w:asciiTheme="minorEastAsia" w:hAnsiTheme="minorEastAsia" w:eastAsiaTheme="minorEastAsia"/>
          <w:b/>
          <w:spacing w:val="100"/>
          <w:w w:val="150"/>
          <w:szCs w:val="28"/>
        </w:rPr>
      </w:pPr>
    </w:p>
    <w:p w14:paraId="619FB681">
      <w:pPr>
        <w:spacing w:line="900" w:lineRule="exact"/>
        <w:ind w:firstLine="243" w:firstLineChars="55"/>
        <w:jc w:val="center"/>
        <w:rPr>
          <w:rFonts w:hint="default" w:ascii="宋体" w:hAnsi="宋体"/>
          <w:b/>
          <w:sz w:val="44"/>
          <w:szCs w:val="44"/>
          <w:lang w:val="en-US" w:eastAsia="zh-CN"/>
        </w:rPr>
      </w:pPr>
      <w:r>
        <w:rPr>
          <w:rFonts w:hint="eastAsia" w:ascii="宋体" w:hAnsi="宋体"/>
          <w:b/>
          <w:sz w:val="44"/>
          <w:szCs w:val="44"/>
          <w:lang w:val="en-US" w:eastAsia="zh-CN"/>
        </w:rPr>
        <w:t xml:space="preserve">技    </w:t>
      </w:r>
    </w:p>
    <w:p w14:paraId="654D3F0C">
      <w:pPr>
        <w:spacing w:line="900" w:lineRule="exact"/>
        <w:ind w:firstLine="243" w:firstLineChars="55"/>
        <w:jc w:val="center"/>
        <w:rPr>
          <w:rFonts w:hint="default" w:ascii="宋体" w:hAnsi="宋体"/>
          <w:b/>
          <w:sz w:val="44"/>
          <w:szCs w:val="44"/>
          <w:lang w:val="en-US" w:eastAsia="zh-CN"/>
        </w:rPr>
      </w:pPr>
      <w:r>
        <w:rPr>
          <w:rFonts w:hint="eastAsia" w:ascii="宋体" w:hAnsi="宋体"/>
          <w:b/>
          <w:sz w:val="44"/>
          <w:szCs w:val="44"/>
          <w:lang w:val="en-US" w:eastAsia="zh-CN"/>
        </w:rPr>
        <w:t>术</w:t>
      </w:r>
    </w:p>
    <w:p w14:paraId="71520BF0">
      <w:pPr>
        <w:spacing w:line="900" w:lineRule="exact"/>
        <w:ind w:firstLine="243" w:firstLineChars="55"/>
        <w:jc w:val="center"/>
        <w:rPr>
          <w:rFonts w:hint="eastAsia" w:ascii="宋体" w:hAnsi="宋体" w:eastAsia="楷体_GB2312"/>
          <w:b/>
          <w:sz w:val="44"/>
          <w:szCs w:val="44"/>
          <w:lang w:val="en-US" w:eastAsia="zh-CN"/>
        </w:rPr>
      </w:pPr>
      <w:r>
        <w:rPr>
          <w:rFonts w:hint="eastAsia" w:ascii="宋体" w:hAnsi="宋体"/>
          <w:b/>
          <w:sz w:val="44"/>
          <w:szCs w:val="44"/>
          <w:lang w:val="en-US" w:eastAsia="zh-CN"/>
        </w:rPr>
        <w:t>文</w:t>
      </w:r>
    </w:p>
    <w:p w14:paraId="4E567BD8">
      <w:pPr>
        <w:spacing w:line="900" w:lineRule="exact"/>
        <w:ind w:firstLine="243" w:firstLineChars="55"/>
        <w:jc w:val="center"/>
        <w:rPr>
          <w:rFonts w:hint="eastAsia" w:ascii="宋体" w:hAnsi="宋体"/>
          <w:b/>
          <w:sz w:val="44"/>
          <w:szCs w:val="44"/>
        </w:rPr>
      </w:pPr>
      <w:r>
        <w:rPr>
          <w:rFonts w:hint="eastAsia" w:ascii="宋体" w:hAnsi="宋体"/>
          <w:b/>
          <w:sz w:val="44"/>
          <w:szCs w:val="44"/>
          <w:lang w:val="en-US" w:eastAsia="zh-CN"/>
        </w:rPr>
        <w:t>件</w:t>
      </w:r>
    </w:p>
    <w:p w14:paraId="6C894638">
      <w:pPr>
        <w:spacing w:line="900" w:lineRule="exact"/>
        <w:ind w:firstLine="199" w:firstLineChars="55"/>
        <w:jc w:val="center"/>
        <w:rPr>
          <w:rFonts w:hint="eastAsia" w:ascii="宋体" w:hAnsi="宋体"/>
          <w:b/>
          <w:sz w:val="36"/>
          <w:szCs w:val="36"/>
        </w:rPr>
      </w:pPr>
    </w:p>
    <w:p w14:paraId="60E3D1F6">
      <w:pPr>
        <w:spacing w:line="900" w:lineRule="exact"/>
        <w:ind w:firstLine="199" w:firstLineChars="55"/>
        <w:jc w:val="center"/>
        <w:rPr>
          <w:rFonts w:hint="eastAsia" w:ascii="宋体" w:hAnsi="宋体"/>
          <w:b/>
          <w:sz w:val="36"/>
          <w:szCs w:val="36"/>
        </w:rPr>
      </w:pPr>
    </w:p>
    <w:p w14:paraId="75FA39D4">
      <w:pPr>
        <w:spacing w:line="900" w:lineRule="exact"/>
        <w:ind w:left="0" w:leftChars="0" w:firstLine="2168" w:firstLineChars="600"/>
        <w:jc w:val="both"/>
        <w:rPr>
          <w:rFonts w:hint="eastAsia" w:ascii="宋体" w:hAnsi="宋体"/>
          <w:b/>
          <w:sz w:val="36"/>
          <w:szCs w:val="36"/>
        </w:rPr>
      </w:pPr>
      <w:r>
        <w:rPr>
          <w:rFonts w:hint="eastAsia" w:ascii="宋体" w:hAnsi="宋体"/>
          <w:b/>
          <w:sz w:val="36"/>
          <w:szCs w:val="36"/>
        </w:rPr>
        <w:t xml:space="preserve"> </w:t>
      </w:r>
    </w:p>
    <w:p w14:paraId="46F8612B">
      <w:pPr>
        <w:spacing w:line="900" w:lineRule="exact"/>
        <w:ind w:left="0" w:leftChars="0" w:firstLine="2168" w:firstLineChars="600"/>
        <w:jc w:val="both"/>
        <w:rPr>
          <w:rFonts w:hint="eastAsia" w:ascii="宋体" w:hAnsi="宋体"/>
          <w:b/>
          <w:sz w:val="36"/>
          <w:szCs w:val="36"/>
        </w:rPr>
      </w:pPr>
    </w:p>
    <w:p w14:paraId="6AD5B6A0">
      <w:pPr>
        <w:spacing w:line="900" w:lineRule="exact"/>
        <w:jc w:val="both"/>
        <w:rPr>
          <w:rFonts w:hint="default" w:ascii="宋体" w:hAnsi="宋体"/>
          <w:b/>
          <w:sz w:val="36"/>
          <w:szCs w:val="36"/>
          <w:lang w:val="en-US" w:eastAsia="zh-CN"/>
        </w:rPr>
      </w:pPr>
    </w:p>
    <w:p w14:paraId="2204294C">
      <w:pPr>
        <w:spacing w:line="900" w:lineRule="exact"/>
        <w:ind w:firstLine="155" w:firstLineChars="55"/>
        <w:jc w:val="center"/>
        <w:rPr>
          <w:rFonts w:hint="eastAsia" w:ascii="宋体" w:hAnsi="宋体"/>
          <w:b/>
          <w:sz w:val="36"/>
          <w:szCs w:val="36"/>
        </w:rPr>
      </w:pPr>
      <w:r>
        <w:rPr>
          <w:rFonts w:hint="eastAsia" w:asciiTheme="minorEastAsia" w:hAnsiTheme="minorEastAsia" w:eastAsiaTheme="minorEastAsia" w:cstheme="minorEastAsia"/>
          <w:b/>
          <w:sz w:val="28"/>
          <w:szCs w:val="28"/>
        </w:rPr>
        <w:fldChar w:fldCharType="begin"/>
      </w:r>
      <w:r>
        <w:rPr>
          <w:rFonts w:hint="eastAsia" w:asciiTheme="minorEastAsia" w:hAnsiTheme="minorEastAsia" w:eastAsiaTheme="minorEastAsia" w:cstheme="minorEastAsia"/>
          <w:b/>
          <w:sz w:val="28"/>
          <w:szCs w:val="28"/>
        </w:rPr>
        <w:instrText xml:space="preserve"> TIME \@ "EEEE年O月A日" </w:instrText>
      </w:r>
      <w:r>
        <w:rPr>
          <w:rFonts w:hint="eastAsia" w:asciiTheme="minorEastAsia" w:hAnsiTheme="minorEastAsia" w:eastAsiaTheme="minorEastAsia" w:cstheme="minorEastAsia"/>
          <w:b/>
          <w:sz w:val="28"/>
          <w:szCs w:val="28"/>
        </w:rPr>
        <w:fldChar w:fldCharType="separate"/>
      </w:r>
      <w:r>
        <w:rPr>
          <w:rFonts w:hint="eastAsia" w:asciiTheme="minorEastAsia" w:hAnsiTheme="minorEastAsia" w:eastAsiaTheme="minorEastAsia" w:cstheme="minorEastAsia"/>
          <w:b/>
          <w:sz w:val="28"/>
          <w:szCs w:val="28"/>
        </w:rPr>
        <w:t>二〇二六年五月十八日</w:t>
      </w:r>
      <w:r>
        <w:rPr>
          <w:rFonts w:hint="eastAsia" w:asciiTheme="minorEastAsia" w:hAnsiTheme="minorEastAsia" w:eastAsiaTheme="minorEastAsia" w:cstheme="minorEastAsia"/>
          <w:b/>
          <w:sz w:val="28"/>
          <w:szCs w:val="28"/>
        </w:rPr>
        <w:fldChar w:fldCharType="end"/>
      </w:r>
    </w:p>
    <w:p w14:paraId="1B6B8414">
      <w:pPr>
        <w:pStyle w:val="2"/>
        <w:keepNext/>
        <w:keepLines/>
        <w:pageBreakBefore w:val="0"/>
        <w:widowControl w:val="0"/>
        <w:kinsoku/>
        <w:wordWrap/>
        <w:overflowPunct/>
        <w:topLinePunct w:val="0"/>
        <w:autoSpaceDE/>
        <w:autoSpaceDN/>
        <w:bidi w:val="0"/>
        <w:adjustRightInd/>
        <w:snapToGrid/>
        <w:spacing w:before="120" w:after="0" w:line="240" w:lineRule="auto"/>
        <w:ind w:left="0" w:leftChars="0" w:firstLine="0" w:firstLineChars="0"/>
        <w:textAlignment w:val="auto"/>
        <w:rPr>
          <w:rFonts w:hint="default"/>
          <w:lang w:val="en-US" w:eastAsia="zh-CN"/>
        </w:rPr>
      </w:pPr>
      <w:r>
        <w:rPr>
          <w:rFonts w:hint="eastAsia"/>
          <w:lang w:val="en-US" w:eastAsia="zh-CN"/>
        </w:rPr>
        <w:t>第一部分  总体要求</w:t>
      </w:r>
    </w:p>
    <w:p w14:paraId="12C53496">
      <w:pPr>
        <w:spacing w:line="500" w:lineRule="exact"/>
        <w:ind w:firstLine="482"/>
        <w:outlineLvl w:val="1"/>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一、总则</w:t>
      </w:r>
    </w:p>
    <w:p w14:paraId="0007DCA3">
      <w:pPr>
        <w:adjustRightInd w:val="0"/>
        <w:snapToGrid w:val="0"/>
        <w:spacing w:line="360" w:lineRule="auto"/>
        <w:ind w:left="0" w:leftChars="0"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 本技术</w:t>
      </w:r>
      <w:r>
        <w:rPr>
          <w:rFonts w:hint="eastAsia" w:asciiTheme="minorEastAsia" w:hAnsiTheme="minorEastAsia" w:eastAsiaTheme="minorEastAsia" w:cstheme="minorEastAsia"/>
          <w:sz w:val="24"/>
          <w:lang w:val="en-US" w:eastAsia="zh-CN"/>
        </w:rPr>
        <w:t>协议</w:t>
      </w:r>
      <w:r>
        <w:rPr>
          <w:rFonts w:hint="eastAsia" w:asciiTheme="minorEastAsia" w:hAnsiTheme="minorEastAsia" w:eastAsiaTheme="minorEastAsia" w:cstheme="minorEastAsia"/>
          <w:sz w:val="24"/>
        </w:rPr>
        <w:t>适用于</w:t>
      </w:r>
      <w:r>
        <w:rPr>
          <w:rFonts w:hint="eastAsia" w:asciiTheme="minorEastAsia" w:hAnsiTheme="minorEastAsia" w:eastAsiaTheme="minorEastAsia" w:cstheme="minorEastAsia"/>
          <w:sz w:val="24"/>
          <w:lang w:eastAsia="zh-CN"/>
        </w:rPr>
        <w:t>宁夏绿源畜禽养殖有限公司白马养殖基地建设项目</w:t>
      </w:r>
      <w:r>
        <w:rPr>
          <w:rFonts w:hint="eastAsia" w:asciiTheme="minorEastAsia" w:hAnsiTheme="minorEastAsia" w:eastAsiaTheme="minorEastAsia" w:cstheme="minorEastAsia"/>
          <w:sz w:val="24"/>
          <w:lang w:val="en-US" w:eastAsia="zh-CN"/>
        </w:rPr>
        <w:t>10kv柱上变压器采购及施工</w:t>
      </w:r>
      <w:r>
        <w:rPr>
          <w:rFonts w:hint="eastAsia" w:asciiTheme="minorEastAsia" w:hAnsiTheme="minorEastAsia" w:eastAsiaTheme="minorEastAsia" w:cstheme="minorEastAsia"/>
          <w:sz w:val="24"/>
        </w:rPr>
        <w:t>。</w:t>
      </w:r>
    </w:p>
    <w:p w14:paraId="50B8EE1B">
      <w:pPr>
        <w:adjustRightInd w:val="0"/>
        <w:snapToGrid w:val="0"/>
        <w:spacing w:line="360" w:lineRule="auto"/>
        <w:ind w:left="0" w:leftChars="0"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 xml:space="preserve">2. </w:t>
      </w:r>
      <w:r>
        <w:rPr>
          <w:rFonts w:hint="eastAsia" w:asciiTheme="minorEastAsia" w:hAnsiTheme="minorEastAsia" w:eastAsiaTheme="minorEastAsia" w:cstheme="minorEastAsia"/>
          <w:sz w:val="24"/>
          <w:lang w:eastAsia="zh-CN"/>
        </w:rPr>
        <w:t>新建10kv</w:t>
      </w:r>
      <w:r>
        <w:rPr>
          <w:rFonts w:hint="eastAsia" w:asciiTheme="minorEastAsia" w:hAnsiTheme="minorEastAsia" w:eastAsiaTheme="minorEastAsia" w:cstheme="minorEastAsia"/>
          <w:sz w:val="24"/>
          <w:lang w:val="en-US" w:eastAsia="zh-CN"/>
        </w:rPr>
        <w:t>柱上变压器</w:t>
      </w:r>
      <w:r>
        <w:rPr>
          <w:rFonts w:hint="eastAsia" w:asciiTheme="minorEastAsia" w:hAnsiTheme="minorEastAsia" w:eastAsiaTheme="minorEastAsia" w:cstheme="minorEastAsia"/>
          <w:sz w:val="24"/>
          <w:lang w:eastAsia="zh-CN"/>
        </w:rPr>
        <w:t>为宁夏绿源畜禽养殖有限公司（250kVA泵房）增容改造工程。</w:t>
      </w:r>
    </w:p>
    <w:p w14:paraId="3A18B55E">
      <w:pPr>
        <w:adjustRightInd w:val="0"/>
        <w:snapToGrid w:val="0"/>
        <w:spacing w:line="360" w:lineRule="auto"/>
        <w:ind w:left="0" w:leftChars="0"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highlight w:val="none"/>
        </w:rPr>
        <w:t>3. 本项目采用总承包模式，包括设计、设备</w:t>
      </w:r>
      <w:r>
        <w:rPr>
          <w:rFonts w:hint="eastAsia" w:asciiTheme="minorEastAsia" w:hAnsiTheme="minorEastAsia" w:eastAsiaTheme="minorEastAsia" w:cstheme="minorEastAsia"/>
          <w:sz w:val="24"/>
          <w:highlight w:val="none"/>
          <w:lang w:val="en-US" w:eastAsia="zh-CN"/>
        </w:rPr>
        <w:t>和</w:t>
      </w:r>
      <w:r>
        <w:rPr>
          <w:rFonts w:hint="eastAsia" w:asciiTheme="minorEastAsia" w:hAnsiTheme="minorEastAsia" w:eastAsiaTheme="minorEastAsia" w:cstheme="minorEastAsia"/>
          <w:sz w:val="24"/>
          <w:highlight w:val="none"/>
        </w:rPr>
        <w:t>材料采购、线路施工、设备安装、调试（包括试验）</w:t>
      </w:r>
      <w:r>
        <w:rPr>
          <w:rFonts w:hint="eastAsia" w:asciiTheme="minorEastAsia" w:hAnsiTheme="minorEastAsia" w:eastAsiaTheme="minorEastAsia" w:cstheme="minorEastAsia"/>
          <w:sz w:val="24"/>
          <w:highlight w:val="none"/>
          <w:lang w:eastAsia="zh-CN"/>
        </w:rPr>
        <w:t>、</w:t>
      </w:r>
      <w:r>
        <w:rPr>
          <w:rFonts w:hint="eastAsia" w:asciiTheme="minorEastAsia" w:hAnsiTheme="minorEastAsia" w:eastAsiaTheme="minorEastAsia" w:cstheme="minorEastAsia"/>
          <w:sz w:val="24"/>
          <w:highlight w:val="none"/>
          <w:lang w:val="en-US" w:eastAsia="zh-CN"/>
        </w:rPr>
        <w:t>直至</w:t>
      </w:r>
      <w:r>
        <w:rPr>
          <w:rFonts w:hint="eastAsia" w:asciiTheme="minorEastAsia" w:hAnsiTheme="minorEastAsia" w:eastAsiaTheme="minorEastAsia" w:cstheme="minorEastAsia"/>
          <w:sz w:val="24"/>
          <w:highlight w:val="none"/>
        </w:rPr>
        <w:t>验收</w:t>
      </w:r>
      <w:r>
        <w:rPr>
          <w:rFonts w:hint="eastAsia" w:asciiTheme="minorEastAsia" w:hAnsiTheme="minorEastAsia" w:eastAsiaTheme="minorEastAsia" w:cstheme="minorEastAsia"/>
          <w:sz w:val="24"/>
          <w:highlight w:val="none"/>
          <w:lang w:val="en-US" w:eastAsia="zh-CN"/>
        </w:rPr>
        <w:t>完成送电以及在质量保修期内的消缺等全过程的总承包</w:t>
      </w:r>
      <w:r>
        <w:rPr>
          <w:rFonts w:hint="eastAsia" w:asciiTheme="minorEastAsia" w:hAnsiTheme="minorEastAsia" w:eastAsiaTheme="minorEastAsia" w:cstheme="minorEastAsia"/>
          <w:sz w:val="24"/>
          <w:highlight w:val="none"/>
        </w:rPr>
        <w:t>交钥匙工程</w:t>
      </w:r>
      <w:r>
        <w:rPr>
          <w:rFonts w:hint="eastAsia" w:asciiTheme="minorEastAsia" w:hAnsiTheme="minorEastAsia" w:eastAsiaTheme="minorEastAsia" w:cstheme="minorEastAsia"/>
          <w:sz w:val="24"/>
        </w:rPr>
        <w:t>。</w:t>
      </w:r>
    </w:p>
    <w:p w14:paraId="471C9861">
      <w:pPr>
        <w:adjustRightInd w:val="0"/>
        <w:snapToGrid w:val="0"/>
        <w:spacing w:line="360" w:lineRule="auto"/>
        <w:ind w:left="0" w:leftChars="0"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 本工程必须满足国家</w:t>
      </w:r>
      <w:r>
        <w:rPr>
          <w:rFonts w:hint="eastAsia" w:asciiTheme="minorEastAsia" w:hAnsiTheme="minorEastAsia" w:eastAsiaTheme="minorEastAsia" w:cstheme="minorEastAsia"/>
          <w:sz w:val="24"/>
          <w:lang w:val="en-US" w:eastAsia="zh-CN"/>
        </w:rPr>
        <w:t>关于EPC工程的质量、安全</w:t>
      </w:r>
      <w:r>
        <w:rPr>
          <w:rFonts w:hint="eastAsia" w:asciiTheme="minorEastAsia" w:hAnsiTheme="minorEastAsia" w:eastAsiaTheme="minorEastAsia" w:cstheme="minorEastAsia"/>
          <w:sz w:val="24"/>
        </w:rPr>
        <w:t>、环保、电力、安监等相关部门的有关法规、规范、规程的要求。</w:t>
      </w:r>
    </w:p>
    <w:p w14:paraId="722B8661">
      <w:pPr>
        <w:adjustRightInd w:val="0"/>
        <w:snapToGrid w:val="0"/>
        <w:spacing w:line="360" w:lineRule="auto"/>
        <w:ind w:left="0" w:leftChars="0"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5. </w:t>
      </w:r>
      <w:r>
        <w:rPr>
          <w:rFonts w:hint="eastAsia" w:asciiTheme="minorEastAsia" w:hAnsiTheme="minorEastAsia" w:eastAsiaTheme="minorEastAsia" w:cstheme="minorEastAsia"/>
          <w:sz w:val="24"/>
          <w:lang w:eastAsia="zh-CN"/>
        </w:rPr>
        <w:t>乙方</w:t>
      </w:r>
      <w:r>
        <w:rPr>
          <w:rFonts w:hint="eastAsia" w:asciiTheme="minorEastAsia" w:hAnsiTheme="minorEastAsia" w:eastAsiaTheme="minorEastAsia" w:cstheme="minorEastAsia"/>
          <w:sz w:val="24"/>
        </w:rPr>
        <w:t>应提供权威机关颁发的ISO–9000系列的认证书或等同的质量保证体系认证证书。提供的产品应在电力系统的变电所运行过三年以上,且在近三年未发生严重质量事故。</w:t>
      </w:r>
    </w:p>
    <w:p w14:paraId="1BB0FA3D">
      <w:pPr>
        <w:adjustRightInd w:val="0"/>
        <w:snapToGrid w:val="0"/>
        <w:spacing w:line="360" w:lineRule="auto"/>
        <w:ind w:left="0" w:leftChars="0"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6. </w:t>
      </w:r>
      <w:r>
        <w:rPr>
          <w:rFonts w:hint="eastAsia" w:asciiTheme="minorEastAsia" w:hAnsiTheme="minorEastAsia" w:eastAsiaTheme="minorEastAsia" w:cstheme="minorEastAsia"/>
          <w:sz w:val="24"/>
          <w:lang w:eastAsia="zh-CN"/>
        </w:rPr>
        <w:t>乙方</w:t>
      </w:r>
      <w:r>
        <w:rPr>
          <w:rFonts w:hint="eastAsia" w:asciiTheme="minorEastAsia" w:hAnsiTheme="minorEastAsia" w:eastAsiaTheme="minorEastAsia" w:cstheme="minorEastAsia"/>
          <w:sz w:val="24"/>
        </w:rPr>
        <w:t>应提供满足本</w:t>
      </w:r>
      <w:r>
        <w:rPr>
          <w:rFonts w:hint="eastAsia" w:asciiTheme="minorEastAsia" w:hAnsiTheme="minorEastAsia" w:eastAsiaTheme="minorEastAsia" w:cstheme="minorEastAsia"/>
          <w:sz w:val="24"/>
          <w:lang w:val="en-US" w:eastAsia="zh-CN"/>
        </w:rPr>
        <w:t>技术规范</w:t>
      </w:r>
      <w:r>
        <w:rPr>
          <w:rFonts w:hint="eastAsia" w:asciiTheme="minorEastAsia" w:hAnsiTheme="minorEastAsia" w:eastAsiaTheme="minorEastAsia" w:cstheme="minorEastAsia"/>
          <w:sz w:val="24"/>
        </w:rPr>
        <w:t>所提及的要求和供货范围及所列标准要求的高质量的设计、设备及其相应的服务。对国家有关安全、消防、环保、劳动卫生等强制性标准必须满足。</w:t>
      </w:r>
    </w:p>
    <w:p w14:paraId="0EE81987">
      <w:pPr>
        <w:adjustRightInd w:val="0"/>
        <w:snapToGrid w:val="0"/>
        <w:spacing w:line="360" w:lineRule="auto"/>
        <w:ind w:left="0" w:leftChars="0"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7. </w:t>
      </w:r>
      <w:r>
        <w:rPr>
          <w:rFonts w:hint="eastAsia" w:asciiTheme="minorEastAsia" w:hAnsiTheme="minorEastAsia" w:eastAsiaTheme="minorEastAsia" w:cstheme="minorEastAsia"/>
          <w:sz w:val="24"/>
          <w:lang w:eastAsia="zh-CN"/>
        </w:rPr>
        <w:t>乙方</w:t>
      </w:r>
      <w:r>
        <w:rPr>
          <w:rFonts w:hint="eastAsia" w:asciiTheme="minorEastAsia" w:hAnsiTheme="minorEastAsia" w:eastAsiaTheme="minorEastAsia" w:cstheme="minorEastAsia"/>
          <w:sz w:val="24"/>
        </w:rPr>
        <w:t>应对系统的拟定、设备的选择和布置负责，</w:t>
      </w:r>
      <w:r>
        <w:rPr>
          <w:rFonts w:hint="eastAsia" w:asciiTheme="minorEastAsia" w:hAnsiTheme="minorEastAsia" w:eastAsiaTheme="minorEastAsia" w:cstheme="minorEastAsia"/>
          <w:sz w:val="24"/>
          <w:lang w:eastAsia="zh-CN"/>
        </w:rPr>
        <w:t>甲方</w:t>
      </w:r>
      <w:r>
        <w:rPr>
          <w:rFonts w:hint="eastAsia" w:asciiTheme="minorEastAsia" w:hAnsiTheme="minorEastAsia" w:eastAsiaTheme="minorEastAsia" w:cstheme="minorEastAsia"/>
          <w:sz w:val="24"/>
        </w:rPr>
        <w:t>的任何要求和确定（认）并不解除对</w:t>
      </w:r>
      <w:r>
        <w:rPr>
          <w:rFonts w:hint="eastAsia" w:asciiTheme="minorEastAsia" w:hAnsiTheme="minorEastAsia" w:eastAsiaTheme="minorEastAsia" w:cstheme="minorEastAsia"/>
          <w:sz w:val="24"/>
          <w:lang w:eastAsia="zh-CN"/>
        </w:rPr>
        <w:t>乙方</w:t>
      </w:r>
      <w:r>
        <w:rPr>
          <w:rFonts w:hint="eastAsia" w:asciiTheme="minorEastAsia" w:hAnsiTheme="minorEastAsia" w:eastAsiaTheme="minorEastAsia" w:cstheme="minorEastAsia"/>
          <w:sz w:val="24"/>
        </w:rPr>
        <w:t>的责任。</w:t>
      </w:r>
    </w:p>
    <w:p w14:paraId="5392A82C">
      <w:pPr>
        <w:adjustRightInd w:val="0"/>
        <w:snapToGrid w:val="0"/>
        <w:spacing w:line="360" w:lineRule="auto"/>
        <w:ind w:left="0" w:leftChars="0" w:firstLine="480" w:firstLineChars="200"/>
        <w:rPr>
          <w:rFonts w:hint="eastAsia" w:asciiTheme="minorEastAsia" w:hAnsiTheme="minorEastAsia" w:eastAsiaTheme="minorEastAsia" w:cstheme="minorEastAsia"/>
          <w:sz w:val="24"/>
          <w:lang w:val="en-GB"/>
        </w:rPr>
      </w:pPr>
      <w:r>
        <w:rPr>
          <w:rFonts w:hint="eastAsia" w:asciiTheme="minorEastAsia" w:hAnsiTheme="minorEastAsia" w:eastAsiaTheme="minorEastAsia" w:cstheme="minorEastAsia"/>
          <w:sz w:val="24"/>
          <w:lang w:val="en-GB"/>
        </w:rPr>
        <w:t xml:space="preserve">8. </w:t>
      </w:r>
      <w:r>
        <w:rPr>
          <w:rFonts w:hint="eastAsia" w:asciiTheme="minorEastAsia" w:hAnsiTheme="minorEastAsia" w:eastAsiaTheme="minorEastAsia" w:cstheme="minorEastAsia"/>
          <w:sz w:val="24"/>
          <w:lang w:val="en-GB" w:eastAsia="zh-CN"/>
        </w:rPr>
        <w:t>乙方</w:t>
      </w:r>
      <w:r>
        <w:rPr>
          <w:rFonts w:hint="eastAsia" w:asciiTheme="minorEastAsia" w:hAnsiTheme="minorEastAsia" w:eastAsiaTheme="minorEastAsia" w:cstheme="minorEastAsia"/>
          <w:sz w:val="24"/>
          <w:lang w:val="en-GB"/>
        </w:rPr>
        <w:t>可根据技术规格书的要求，在满足设备要求的前提下，向</w:t>
      </w:r>
      <w:r>
        <w:rPr>
          <w:rFonts w:hint="eastAsia" w:asciiTheme="minorEastAsia" w:hAnsiTheme="minorEastAsia" w:eastAsiaTheme="minorEastAsia" w:cstheme="minorEastAsia"/>
          <w:sz w:val="24"/>
          <w:lang w:val="en-GB" w:eastAsia="zh-CN"/>
        </w:rPr>
        <w:t>甲方</w:t>
      </w:r>
      <w:r>
        <w:rPr>
          <w:rFonts w:hint="eastAsia" w:asciiTheme="minorEastAsia" w:hAnsiTheme="minorEastAsia" w:eastAsiaTheme="minorEastAsia" w:cstheme="minorEastAsia"/>
          <w:sz w:val="24"/>
          <w:lang w:val="en-GB"/>
        </w:rPr>
        <w:t>提出合理的建议。</w:t>
      </w:r>
    </w:p>
    <w:p w14:paraId="72A546E5">
      <w:pPr>
        <w:adjustRightInd w:val="0"/>
        <w:snapToGrid w:val="0"/>
        <w:spacing w:line="360" w:lineRule="auto"/>
        <w:ind w:left="0" w:leftChars="0" w:firstLine="480" w:firstLineChars="200"/>
        <w:rPr>
          <w:rFonts w:hint="eastAsia" w:asciiTheme="minorEastAsia" w:hAnsiTheme="minorEastAsia" w:eastAsiaTheme="minorEastAsia" w:cstheme="minorEastAsia"/>
          <w:sz w:val="24"/>
          <w:lang w:val="en-GB"/>
        </w:rPr>
      </w:pPr>
      <w:r>
        <w:rPr>
          <w:rFonts w:hint="eastAsia" w:asciiTheme="minorEastAsia" w:hAnsiTheme="minorEastAsia" w:eastAsiaTheme="minorEastAsia" w:cstheme="minorEastAsia"/>
          <w:sz w:val="24"/>
        </w:rPr>
        <w:t xml:space="preserve">9. </w:t>
      </w:r>
      <w:r>
        <w:rPr>
          <w:rFonts w:hint="eastAsia" w:asciiTheme="minorEastAsia" w:hAnsiTheme="minorEastAsia" w:eastAsiaTheme="minorEastAsia" w:cstheme="minorEastAsia"/>
          <w:sz w:val="24"/>
          <w:lang w:eastAsia="zh-CN"/>
        </w:rPr>
        <w:t>甲方</w:t>
      </w:r>
      <w:r>
        <w:rPr>
          <w:rFonts w:hint="eastAsia" w:asciiTheme="minorEastAsia" w:hAnsiTheme="minorEastAsia" w:eastAsiaTheme="minorEastAsia" w:cstheme="minorEastAsia"/>
          <w:sz w:val="24"/>
        </w:rPr>
        <w:t>保</w:t>
      </w:r>
      <w:r>
        <w:rPr>
          <w:rFonts w:hint="eastAsia" w:asciiTheme="minorEastAsia" w:hAnsiTheme="minorEastAsia" w:eastAsiaTheme="minorEastAsia" w:cstheme="minorEastAsia"/>
          <w:sz w:val="24"/>
          <w:lang w:val="en-GB"/>
        </w:rPr>
        <w:t>留改变设备的数量、型号和技术要求的权利，所有变更需以书面形式通知所有</w:t>
      </w:r>
      <w:r>
        <w:rPr>
          <w:rFonts w:hint="eastAsia" w:asciiTheme="minorEastAsia" w:hAnsiTheme="minorEastAsia" w:eastAsiaTheme="minorEastAsia" w:cstheme="minorEastAsia"/>
          <w:sz w:val="24"/>
          <w:lang w:val="en-GB" w:eastAsia="zh-CN"/>
        </w:rPr>
        <w:t>乙方</w:t>
      </w:r>
      <w:r>
        <w:rPr>
          <w:rFonts w:hint="eastAsia" w:asciiTheme="minorEastAsia" w:hAnsiTheme="minorEastAsia" w:eastAsiaTheme="minorEastAsia" w:cstheme="minorEastAsia"/>
          <w:sz w:val="24"/>
          <w:lang w:val="en-GB"/>
        </w:rPr>
        <w:t>。</w:t>
      </w:r>
    </w:p>
    <w:p w14:paraId="5F29EC79">
      <w:pPr>
        <w:adjustRightInd w:val="0"/>
        <w:snapToGrid w:val="0"/>
        <w:spacing w:line="360" w:lineRule="auto"/>
        <w:ind w:left="0" w:leftChars="0"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GB"/>
        </w:rPr>
        <w:t>10.</w:t>
      </w:r>
      <w:r>
        <w:rPr>
          <w:rFonts w:hint="eastAsia" w:asciiTheme="minorEastAsia" w:hAnsiTheme="minorEastAsia" w:eastAsiaTheme="minorEastAsia" w:cstheme="minorEastAsia"/>
          <w:sz w:val="24"/>
          <w:lang w:val="en-US" w:eastAsia="zh-CN"/>
        </w:rPr>
        <w:t xml:space="preserve"> 乙方应在</w:t>
      </w:r>
      <w:r>
        <w:rPr>
          <w:rFonts w:hint="eastAsia" w:asciiTheme="minorEastAsia" w:hAnsiTheme="minorEastAsia" w:eastAsiaTheme="minorEastAsia" w:cstheme="minorEastAsia"/>
          <w:sz w:val="24"/>
        </w:rPr>
        <w:t>合同签订后</w:t>
      </w:r>
      <w:r>
        <w:rPr>
          <w:rFonts w:hint="eastAsia" w:asciiTheme="minorEastAsia" w:hAnsiTheme="minorEastAsia" w:eastAsiaTheme="minorEastAsia" w:cstheme="minorEastAsia"/>
          <w:sz w:val="24"/>
          <w:highlight w:val="none"/>
          <w:lang w:val="en-US" w:eastAsia="zh-CN"/>
        </w:rPr>
        <w:t>10</w:t>
      </w:r>
      <w:r>
        <w:rPr>
          <w:rFonts w:hint="eastAsia" w:asciiTheme="minorEastAsia" w:hAnsiTheme="minorEastAsia" w:eastAsiaTheme="minorEastAsia" w:cstheme="minorEastAsia"/>
          <w:sz w:val="24"/>
        </w:rPr>
        <w:t>日内，按本</w:t>
      </w:r>
      <w:r>
        <w:rPr>
          <w:rFonts w:hint="eastAsia" w:asciiTheme="minorEastAsia" w:hAnsiTheme="minorEastAsia" w:eastAsiaTheme="minorEastAsia" w:cstheme="minorEastAsia"/>
          <w:sz w:val="24"/>
          <w:lang w:val="en-US" w:eastAsia="zh-CN"/>
        </w:rPr>
        <w:t>技术协议</w:t>
      </w:r>
      <w:r>
        <w:rPr>
          <w:rFonts w:hint="eastAsia" w:asciiTheme="minorEastAsia" w:hAnsiTheme="minorEastAsia" w:eastAsiaTheme="minorEastAsia" w:cstheme="minorEastAsia"/>
          <w:sz w:val="24"/>
        </w:rPr>
        <w:t>的要求，</w:t>
      </w:r>
      <w:r>
        <w:rPr>
          <w:rFonts w:hint="eastAsia" w:asciiTheme="minorEastAsia" w:hAnsiTheme="minorEastAsia" w:eastAsiaTheme="minorEastAsia" w:cstheme="minorEastAsia"/>
          <w:sz w:val="24"/>
          <w:lang w:val="en-US" w:eastAsia="zh-CN"/>
        </w:rPr>
        <w:t>将环网型箱式变电站的布置图、系统图及其基础图提供给甲</w:t>
      </w:r>
      <w:r>
        <w:rPr>
          <w:rFonts w:hint="eastAsia" w:asciiTheme="minorEastAsia" w:hAnsiTheme="minorEastAsia" w:eastAsiaTheme="minorEastAsia" w:cstheme="minorEastAsia"/>
          <w:sz w:val="24"/>
        </w:rPr>
        <w:t>方</w:t>
      </w:r>
      <w:r>
        <w:rPr>
          <w:rFonts w:hint="eastAsia" w:asciiTheme="minorEastAsia" w:hAnsiTheme="minorEastAsia" w:eastAsiaTheme="minorEastAsia" w:cstheme="minorEastAsia"/>
          <w:sz w:val="24"/>
          <w:lang w:val="en-US" w:eastAsia="zh-CN"/>
        </w:rPr>
        <w:t>进行确认</w:t>
      </w:r>
      <w:r>
        <w:rPr>
          <w:rFonts w:hint="eastAsia" w:asciiTheme="minorEastAsia" w:hAnsiTheme="minorEastAsia" w:eastAsiaTheme="minorEastAsia" w:cstheme="minorEastAsia"/>
          <w:sz w:val="24"/>
        </w:rPr>
        <w:t>。</w:t>
      </w:r>
    </w:p>
    <w:p w14:paraId="68349E53">
      <w:pPr>
        <w:adjustRightInd w:val="0"/>
        <w:snapToGrid w:val="0"/>
        <w:spacing w:line="360" w:lineRule="auto"/>
        <w:ind w:left="0" w:leftChars="0" w:firstLine="480" w:firstLineChars="200"/>
        <w:rPr>
          <w:rFonts w:hint="eastAsia" w:asciiTheme="minorEastAsia" w:hAnsiTheme="minorEastAsia" w:eastAsiaTheme="minorEastAsia" w:cstheme="minorEastAsia"/>
          <w:sz w:val="24"/>
          <w:lang w:val="en-GB"/>
        </w:rPr>
      </w:pPr>
      <w:r>
        <w:rPr>
          <w:rFonts w:hint="eastAsia" w:asciiTheme="minorEastAsia" w:hAnsiTheme="minorEastAsia" w:eastAsiaTheme="minorEastAsia" w:cstheme="minorEastAsia"/>
          <w:sz w:val="24"/>
          <w:lang w:val="en-GB"/>
        </w:rPr>
        <w:t>1</w:t>
      </w: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lang w:val="en-GB"/>
        </w:rPr>
        <w:t>.</w:t>
      </w:r>
      <w:r>
        <w:rPr>
          <w:rFonts w:hint="eastAsia" w:asciiTheme="minorEastAsia" w:hAnsiTheme="minorEastAsia" w:eastAsiaTheme="minorEastAsia" w:cstheme="minorEastAsia"/>
          <w:sz w:val="24"/>
          <w:lang w:val="en-US" w:eastAsia="zh-CN"/>
        </w:rPr>
        <w:t xml:space="preserve"> </w:t>
      </w:r>
      <w:r>
        <w:rPr>
          <w:rFonts w:hint="eastAsia" w:asciiTheme="minorEastAsia" w:hAnsiTheme="minorEastAsia" w:eastAsiaTheme="minorEastAsia" w:cstheme="minorEastAsia"/>
          <w:sz w:val="24"/>
          <w:lang w:val="en-GB"/>
        </w:rPr>
        <w:t>本协议中</w:t>
      </w:r>
      <w:r>
        <w:rPr>
          <w:rFonts w:hint="eastAsia" w:asciiTheme="minorEastAsia" w:hAnsiTheme="minorEastAsia" w:eastAsiaTheme="minorEastAsia" w:cstheme="minorEastAsia"/>
          <w:sz w:val="24"/>
          <w:lang w:val="en-US" w:eastAsia="zh-CN"/>
        </w:rPr>
        <w:t>甲方</w:t>
      </w:r>
      <w:r>
        <w:rPr>
          <w:rFonts w:hint="eastAsia" w:asciiTheme="minorEastAsia" w:hAnsiTheme="minorEastAsia" w:eastAsiaTheme="minorEastAsia" w:cstheme="minorEastAsia"/>
          <w:sz w:val="24"/>
          <w:lang w:val="en-GB"/>
        </w:rPr>
        <w:t>提供的</w:t>
      </w:r>
      <w:r>
        <w:rPr>
          <w:rFonts w:hint="eastAsia" w:asciiTheme="minorEastAsia" w:hAnsiTheme="minorEastAsia" w:eastAsiaTheme="minorEastAsia" w:cstheme="minorEastAsia"/>
          <w:sz w:val="24"/>
          <w:lang w:val="en-US" w:eastAsia="zh-CN"/>
        </w:rPr>
        <w:t>线路工程的</w:t>
      </w:r>
      <w:r>
        <w:rPr>
          <w:rFonts w:hint="eastAsia" w:asciiTheme="minorEastAsia" w:hAnsiTheme="minorEastAsia" w:eastAsiaTheme="minorEastAsia" w:cstheme="minorEastAsia"/>
          <w:sz w:val="24"/>
          <w:lang w:val="en-GB"/>
        </w:rPr>
        <w:t>一切数据只作为</w:t>
      </w:r>
      <w:r>
        <w:rPr>
          <w:rFonts w:hint="eastAsia" w:asciiTheme="minorEastAsia" w:hAnsiTheme="minorEastAsia" w:eastAsiaTheme="minorEastAsia" w:cstheme="minorEastAsia"/>
          <w:sz w:val="24"/>
          <w:lang w:val="en-US" w:eastAsia="zh-CN"/>
        </w:rPr>
        <w:t>乙方</w:t>
      </w:r>
      <w:r>
        <w:rPr>
          <w:rFonts w:hint="eastAsia" w:asciiTheme="minorEastAsia" w:hAnsiTheme="minorEastAsia" w:eastAsiaTheme="minorEastAsia" w:cstheme="minorEastAsia"/>
          <w:sz w:val="24"/>
          <w:lang w:val="en-GB"/>
        </w:rPr>
        <w:t>设计依据的参考，</w:t>
      </w:r>
      <w:r>
        <w:rPr>
          <w:rFonts w:hint="eastAsia" w:asciiTheme="minorEastAsia" w:hAnsiTheme="minorEastAsia" w:eastAsiaTheme="minorEastAsia" w:cstheme="minorEastAsia"/>
          <w:sz w:val="24"/>
          <w:lang w:val="en-US" w:eastAsia="zh-CN"/>
        </w:rPr>
        <w:t>乙方</w:t>
      </w:r>
      <w:r>
        <w:rPr>
          <w:rFonts w:hint="eastAsia" w:asciiTheme="minorEastAsia" w:hAnsiTheme="minorEastAsia" w:eastAsiaTheme="minorEastAsia" w:cstheme="minorEastAsia"/>
          <w:sz w:val="24"/>
          <w:lang w:val="en-GB"/>
        </w:rPr>
        <w:t>在设计前应自行搜集基础数据、设计数据等，并对设计依据负责，</w:t>
      </w:r>
      <w:r>
        <w:rPr>
          <w:rFonts w:hint="eastAsia" w:asciiTheme="minorEastAsia" w:hAnsiTheme="minorEastAsia" w:eastAsiaTheme="minorEastAsia" w:cstheme="minorEastAsia"/>
          <w:sz w:val="24"/>
          <w:lang w:val="en-US" w:eastAsia="zh-CN"/>
        </w:rPr>
        <w:t>甲方</w:t>
      </w:r>
      <w:r>
        <w:rPr>
          <w:rFonts w:hint="eastAsia" w:asciiTheme="minorEastAsia" w:hAnsiTheme="minorEastAsia" w:eastAsiaTheme="minorEastAsia" w:cstheme="minorEastAsia"/>
          <w:sz w:val="24"/>
          <w:lang w:val="en-GB"/>
        </w:rPr>
        <w:t>配合</w:t>
      </w:r>
      <w:r>
        <w:rPr>
          <w:rFonts w:hint="eastAsia" w:asciiTheme="minorEastAsia" w:hAnsiTheme="minorEastAsia" w:eastAsiaTheme="minorEastAsia" w:cstheme="minorEastAsia"/>
          <w:sz w:val="24"/>
          <w:lang w:val="en-US" w:eastAsia="zh-CN"/>
        </w:rPr>
        <w:t>乙方进行</w:t>
      </w:r>
      <w:r>
        <w:rPr>
          <w:rFonts w:hint="eastAsia" w:asciiTheme="minorEastAsia" w:hAnsiTheme="minorEastAsia" w:eastAsiaTheme="minorEastAsia" w:cstheme="minorEastAsia"/>
          <w:sz w:val="24"/>
          <w:lang w:val="en-GB"/>
        </w:rPr>
        <w:t>数据搜集工作。</w:t>
      </w:r>
    </w:p>
    <w:p w14:paraId="1877D5E3">
      <w:pPr>
        <w:adjustRightInd w:val="0"/>
        <w:snapToGrid w:val="0"/>
        <w:spacing w:line="360" w:lineRule="auto"/>
        <w:ind w:left="0" w:leftChars="0"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GB"/>
        </w:rPr>
        <w:t>1</w:t>
      </w:r>
      <w:r>
        <w:rPr>
          <w:rFonts w:hint="eastAsia" w:asciiTheme="minorEastAsia" w:hAnsiTheme="minorEastAsia" w:eastAsiaTheme="minorEastAsia" w:cstheme="minorEastAsia"/>
          <w:sz w:val="24"/>
          <w:lang w:val="en-US" w:eastAsia="zh-CN"/>
        </w:rPr>
        <w:t xml:space="preserve">2. </w:t>
      </w:r>
      <w:r>
        <w:rPr>
          <w:rFonts w:hint="eastAsia" w:asciiTheme="minorEastAsia" w:hAnsiTheme="minorEastAsia" w:eastAsiaTheme="minorEastAsia" w:cstheme="minorEastAsia"/>
          <w:sz w:val="24"/>
          <w:lang w:val="en-GB"/>
        </w:rPr>
        <w:t>施工期的施工用水、用电、临时设施由</w:t>
      </w:r>
      <w:r>
        <w:rPr>
          <w:rFonts w:hint="eastAsia" w:asciiTheme="minorEastAsia" w:hAnsiTheme="minorEastAsia" w:eastAsiaTheme="minorEastAsia" w:cstheme="minorEastAsia"/>
          <w:sz w:val="24"/>
          <w:lang w:val="en-US" w:eastAsia="zh-CN"/>
        </w:rPr>
        <w:t>乙方</w:t>
      </w:r>
      <w:r>
        <w:rPr>
          <w:rFonts w:hint="eastAsia" w:asciiTheme="minorEastAsia" w:hAnsiTheme="minorEastAsia" w:eastAsiaTheme="minorEastAsia" w:cstheme="minorEastAsia"/>
          <w:sz w:val="24"/>
          <w:lang w:val="en-GB"/>
        </w:rPr>
        <w:t>自行与产权方沟通协调解决</w:t>
      </w:r>
      <w:r>
        <w:rPr>
          <w:rFonts w:hint="eastAsia" w:asciiTheme="minorEastAsia" w:hAnsiTheme="minorEastAsia" w:eastAsiaTheme="minorEastAsia" w:cstheme="minorEastAsia"/>
          <w:sz w:val="24"/>
          <w:lang w:val="en-GB" w:eastAsia="zh-CN"/>
        </w:rPr>
        <w:t>，</w:t>
      </w:r>
      <w:r>
        <w:rPr>
          <w:rFonts w:hint="eastAsia" w:asciiTheme="minorEastAsia" w:hAnsiTheme="minorEastAsia" w:eastAsiaTheme="minorEastAsia" w:cstheme="minorEastAsia"/>
          <w:sz w:val="24"/>
          <w:lang w:val="en-US" w:eastAsia="zh-CN"/>
        </w:rPr>
        <w:t>在甲方范围内甲方应给予一定的便利和配合。</w:t>
      </w:r>
    </w:p>
    <w:p w14:paraId="20DC6744">
      <w:pPr>
        <w:adjustRightInd w:val="0"/>
        <w:snapToGrid w:val="0"/>
        <w:spacing w:line="360" w:lineRule="auto"/>
        <w:ind w:left="0" w:leftChars="0"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13. 乙方提供的设备、系统所涉及的任何专利问题，由乙方负责解决，甲方不承担任何由专利纠纷引起的任何费用。</w:t>
      </w:r>
    </w:p>
    <w:p w14:paraId="7E7E99D0">
      <w:pPr>
        <w:adjustRightInd w:val="0"/>
        <w:snapToGrid w:val="0"/>
        <w:spacing w:line="360" w:lineRule="auto"/>
        <w:ind w:left="0" w:leftChars="0"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14. 对于乙方所提供的设计产品(包括图纸、文件、资料等)和服务所涉及的专利技术、专有技术等所含有的有关知识产权，乙方须保证甲方自然对其拥有使用权，并保证甲方使用这些产品和服务时避免知识产权的诉讼纠纷。</w:t>
      </w:r>
    </w:p>
    <w:p w14:paraId="1BC5BDDE">
      <w:pPr>
        <w:adjustRightInd w:val="0"/>
        <w:snapToGrid w:val="0"/>
        <w:spacing w:line="360" w:lineRule="auto"/>
        <w:ind w:left="0" w:leftChars="0"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15.验收合格后，乙方提交验收合格的竣工验收资料(含文本、图纸资料4套), 甲方出具项目竣工验收报告，双方签字确认，方视为竣工。</w:t>
      </w:r>
    </w:p>
    <w:p w14:paraId="79340E8A">
      <w:pPr>
        <w:adjustRightInd w:val="0"/>
        <w:snapToGrid w:val="0"/>
        <w:spacing w:line="360" w:lineRule="auto"/>
        <w:ind w:left="0" w:leftChars="0"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16.本技术协议与合同具备同等法律效力。</w:t>
      </w:r>
      <w:bookmarkEnd w:id="2"/>
    </w:p>
    <w:p w14:paraId="60B7248A">
      <w:pPr>
        <w:keepNext w:val="0"/>
        <w:keepLines w:val="0"/>
        <w:pageBreakBefore w:val="0"/>
        <w:widowControl w:val="0"/>
        <w:kinsoku/>
        <w:wordWrap/>
        <w:overflowPunct/>
        <w:topLinePunct w:val="0"/>
        <w:autoSpaceDE/>
        <w:autoSpaceDN/>
        <w:bidi w:val="0"/>
        <w:adjustRightInd/>
        <w:snapToGrid/>
        <w:spacing w:line="500" w:lineRule="exact"/>
        <w:textAlignment w:val="auto"/>
        <w:outlineLvl w:val="0"/>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二、项目概况</w:t>
      </w:r>
    </w:p>
    <w:p w14:paraId="1DB7B998">
      <w:pPr>
        <w:adjustRightInd w:val="0"/>
        <w:snapToGrid w:val="0"/>
        <w:spacing w:line="360" w:lineRule="auto"/>
        <w:ind w:left="0" w:leftChars="0"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1、本项目位于宁夏中卫市中宁县白马综合养殖基地。</w:t>
      </w:r>
    </w:p>
    <w:p w14:paraId="798D5232">
      <w:pPr>
        <w:adjustRightInd w:val="0"/>
        <w:snapToGrid w:val="0"/>
        <w:spacing w:line="360" w:lineRule="auto"/>
        <w:ind w:left="0" w:leftChars="0"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2、宁夏绿源畜禽养殖有限公司白马养殖基地建设项目增容10kv柱上变压器，本工程为户外10kV配电柱上变压器新建工程，采用S20-M-630/10kV全密封低损耗油浸式配电变压器，采用双杆门型架柱上安装方式。工程包含变压器设备采购、配套金具辅材采购、设备安装、电气接线、接地系统施工、试验调试、竣工验收全部工作内容，施工完成后设备性能符合国家最新能效及配电施工标准。</w:t>
      </w:r>
    </w:p>
    <w:p w14:paraId="286E14E0">
      <w:pPr>
        <w:adjustRightInd w:val="0"/>
        <w:snapToGrid w:val="0"/>
        <w:spacing w:line="360" w:lineRule="auto"/>
        <w:ind w:left="0" w:leftChars="0"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3、</w:t>
      </w:r>
      <w:bookmarkStart w:id="3" w:name="_Toc257719246"/>
      <w:r>
        <w:rPr>
          <w:rFonts w:hint="eastAsia" w:asciiTheme="minorEastAsia" w:hAnsiTheme="minorEastAsia" w:eastAsiaTheme="minorEastAsia" w:cstheme="minorEastAsia"/>
          <w:sz w:val="24"/>
          <w:lang w:val="en-US" w:eastAsia="zh-CN"/>
        </w:rPr>
        <w:t>设备核心参数：</w:t>
      </w:r>
    </w:p>
    <w:p w14:paraId="0DA6AB41">
      <w:pPr>
        <w:pStyle w:val="15"/>
        <w:rPr>
          <w:rFonts w:hint="eastAsia" w:asciiTheme="minorEastAsia" w:hAnsiTheme="minorEastAsia" w:eastAsiaTheme="minorEastAsia" w:cstheme="minorEastAsia"/>
          <w:b w:val="0"/>
          <w:bCs w:val="0"/>
          <w:sz w:val="24"/>
          <w:szCs w:val="22"/>
          <w:lang w:eastAsia="zh-CN"/>
        </w:rPr>
      </w:pPr>
      <w:r>
        <w:rPr>
          <w:rFonts w:hint="eastAsia" w:asciiTheme="minorEastAsia" w:hAnsiTheme="minorEastAsia" w:eastAsiaTheme="minorEastAsia" w:cstheme="minorEastAsia"/>
          <w:b w:val="0"/>
          <w:bCs w:val="0"/>
          <w:sz w:val="24"/>
          <w:szCs w:val="22"/>
          <w:lang w:eastAsia="zh-CN"/>
        </w:rPr>
        <w:t>设备型号：S20-M-630kVA、10kV/0.4kV</w:t>
      </w:r>
    </w:p>
    <w:p w14:paraId="79B05AC7">
      <w:pPr>
        <w:pStyle w:val="15"/>
        <w:rPr>
          <w:rFonts w:hint="eastAsia" w:asciiTheme="minorEastAsia" w:hAnsiTheme="minorEastAsia" w:eastAsiaTheme="minorEastAsia" w:cstheme="minorEastAsia"/>
          <w:b w:val="0"/>
          <w:bCs w:val="0"/>
          <w:sz w:val="24"/>
          <w:szCs w:val="22"/>
          <w:lang w:eastAsia="zh-CN"/>
        </w:rPr>
      </w:pPr>
      <w:r>
        <w:rPr>
          <w:rFonts w:hint="eastAsia" w:asciiTheme="minorEastAsia" w:hAnsiTheme="minorEastAsia" w:eastAsiaTheme="minorEastAsia" w:cstheme="minorEastAsia"/>
          <w:b w:val="0"/>
          <w:bCs w:val="0"/>
          <w:sz w:val="24"/>
          <w:szCs w:val="22"/>
          <w:lang w:eastAsia="zh-CN"/>
        </w:rPr>
        <w:t>联结组别：Dyn11</w:t>
      </w:r>
    </w:p>
    <w:p w14:paraId="1F6716F5">
      <w:pPr>
        <w:pStyle w:val="15"/>
        <w:rPr>
          <w:rFonts w:hint="eastAsia" w:asciiTheme="minorEastAsia" w:hAnsiTheme="minorEastAsia" w:eastAsiaTheme="minorEastAsia" w:cstheme="minorEastAsia"/>
          <w:b w:val="0"/>
          <w:bCs w:val="0"/>
          <w:sz w:val="24"/>
          <w:szCs w:val="22"/>
          <w:lang w:eastAsia="zh-CN"/>
        </w:rPr>
      </w:pPr>
      <w:r>
        <w:rPr>
          <w:rFonts w:hint="eastAsia" w:asciiTheme="minorEastAsia" w:hAnsiTheme="minorEastAsia" w:eastAsiaTheme="minorEastAsia" w:cstheme="minorEastAsia"/>
          <w:b w:val="0"/>
          <w:bCs w:val="0"/>
          <w:sz w:val="24"/>
          <w:szCs w:val="22"/>
          <w:lang w:eastAsia="zh-CN"/>
        </w:rPr>
        <w:t>冷却方式：ONAN油浸自冷</w:t>
      </w:r>
    </w:p>
    <w:p w14:paraId="483978D7">
      <w:pPr>
        <w:pStyle w:val="15"/>
        <w:rPr>
          <w:rFonts w:hint="eastAsia" w:asciiTheme="minorEastAsia" w:hAnsiTheme="minorEastAsia" w:eastAsiaTheme="minorEastAsia" w:cstheme="minorEastAsia"/>
          <w:b w:val="0"/>
          <w:bCs w:val="0"/>
          <w:sz w:val="24"/>
          <w:szCs w:val="22"/>
          <w:lang w:eastAsia="zh-CN"/>
        </w:rPr>
      </w:pPr>
      <w:r>
        <w:rPr>
          <w:rFonts w:hint="eastAsia" w:asciiTheme="minorEastAsia" w:hAnsiTheme="minorEastAsia" w:eastAsiaTheme="minorEastAsia" w:cstheme="minorEastAsia"/>
          <w:b w:val="0"/>
          <w:bCs w:val="0"/>
          <w:sz w:val="24"/>
          <w:szCs w:val="22"/>
          <w:lang w:eastAsia="zh-CN"/>
        </w:rPr>
        <w:t>调压方式：高压侧无励磁调压±5%</w:t>
      </w:r>
    </w:p>
    <w:p w14:paraId="00F1919B">
      <w:pPr>
        <w:pStyle w:val="15"/>
        <w:rPr>
          <w:rFonts w:hint="eastAsia" w:asciiTheme="minorEastAsia" w:hAnsiTheme="minorEastAsia" w:eastAsiaTheme="minorEastAsia" w:cstheme="minorEastAsia"/>
          <w:b w:val="0"/>
          <w:bCs w:val="0"/>
          <w:sz w:val="24"/>
          <w:szCs w:val="22"/>
          <w:lang w:eastAsia="zh-CN"/>
        </w:rPr>
      </w:pPr>
      <w:r>
        <w:rPr>
          <w:rFonts w:hint="eastAsia" w:asciiTheme="minorEastAsia" w:hAnsiTheme="minorEastAsia" w:eastAsiaTheme="minorEastAsia" w:cstheme="minorEastAsia"/>
          <w:b w:val="0"/>
          <w:bCs w:val="0"/>
          <w:sz w:val="24"/>
          <w:szCs w:val="22"/>
          <w:lang w:eastAsia="zh-CN"/>
        </w:rPr>
        <w:t>额定频率：50Hz</w:t>
      </w:r>
    </w:p>
    <w:p w14:paraId="41795CA8">
      <w:pPr>
        <w:pStyle w:val="15"/>
        <w:rPr>
          <w:rFonts w:hint="eastAsia" w:asciiTheme="minorEastAsia" w:hAnsiTheme="minorEastAsia" w:eastAsiaTheme="minorEastAsia" w:cstheme="minorEastAsia"/>
          <w:b w:val="0"/>
          <w:bCs w:val="0"/>
          <w:sz w:val="24"/>
          <w:szCs w:val="22"/>
          <w:lang w:eastAsia="zh-CN"/>
        </w:rPr>
      </w:pPr>
      <w:r>
        <w:rPr>
          <w:rFonts w:hint="eastAsia" w:asciiTheme="minorEastAsia" w:hAnsiTheme="minorEastAsia" w:eastAsiaTheme="minorEastAsia" w:cstheme="minorEastAsia"/>
          <w:b w:val="0"/>
          <w:bCs w:val="0"/>
          <w:sz w:val="24"/>
          <w:szCs w:val="22"/>
          <w:lang w:eastAsia="zh-CN"/>
        </w:rPr>
        <w:t>安装形式：户外双杆柱上架设</w:t>
      </w:r>
    </w:p>
    <w:p w14:paraId="420EF4A0">
      <w:pPr>
        <w:pStyle w:val="2"/>
        <w:keepNext/>
        <w:keepLines/>
        <w:pageBreakBefore w:val="0"/>
        <w:widowControl w:val="0"/>
        <w:kinsoku/>
        <w:wordWrap/>
        <w:overflowPunct/>
        <w:topLinePunct w:val="0"/>
        <w:autoSpaceDE/>
        <w:autoSpaceDN/>
        <w:bidi w:val="0"/>
        <w:adjustRightInd/>
        <w:snapToGrid/>
        <w:spacing w:before="120" w:after="0" w:line="240" w:lineRule="auto"/>
        <w:ind w:left="0" w:leftChars="0" w:firstLine="0" w:firstLineChars="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第二部分 主要技术要求</w:t>
      </w:r>
      <w:bookmarkEnd w:id="3"/>
    </w:p>
    <w:p w14:paraId="222D5C75">
      <w:pPr>
        <w:keepNext w:val="0"/>
        <w:keepLines w:val="0"/>
        <w:pageBreakBefore w:val="0"/>
        <w:widowControl w:val="0"/>
        <w:kinsoku/>
        <w:wordWrap/>
        <w:overflowPunct/>
        <w:topLinePunct w:val="0"/>
        <w:autoSpaceDE/>
        <w:autoSpaceDN/>
        <w:bidi w:val="0"/>
        <w:adjustRightInd/>
        <w:snapToGrid/>
        <w:spacing w:line="500" w:lineRule="exact"/>
        <w:textAlignment w:val="auto"/>
        <w:outlineLvl w:val="0"/>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一、主要标准及规范</w:t>
      </w:r>
    </w:p>
    <w:p w14:paraId="548ACF2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38" w:firstLineChars="266"/>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协议中所有设备及其备品备件，除协议书中规定的技术参数和要求外，其余均遵循最新版本的国家标准（GB）、电力行业标准（DL）和国际单位制（SI）。</w:t>
      </w:r>
    </w:p>
    <w:p w14:paraId="5ECB578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638" w:firstLineChars="266"/>
        <w:textAlignment w:val="auto"/>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提供的产品满足本协议规定的技术参数和要求以及如下的专用标准： </w:t>
      </w:r>
    </w:p>
    <w:p w14:paraId="6BAD7548">
      <w:pPr>
        <w:pStyle w:val="15"/>
        <w:numPr>
          <w:ilvl w:val="0"/>
          <w:numId w:val="0"/>
        </w:numPr>
        <w:ind w:left="288" w:leftChars="0" w:hanging="288" w:firstLineChars="0"/>
        <w:rPr>
          <w:rFonts w:hint="eastAsia" w:asciiTheme="minorEastAsia" w:hAnsiTheme="minorEastAsia" w:eastAsiaTheme="minorEastAsia" w:cstheme="minorEastAsia"/>
          <w:kern w:val="2"/>
          <w:sz w:val="24"/>
          <w:szCs w:val="20"/>
          <w:highlight w:val="none"/>
          <w:lang w:val="en-US" w:eastAsia="zh-CN" w:bidi="ar-SA"/>
        </w:rPr>
      </w:pPr>
      <w:r>
        <w:rPr>
          <w:rFonts w:hint="eastAsia" w:asciiTheme="minorEastAsia" w:hAnsiTheme="minorEastAsia" w:eastAsiaTheme="minorEastAsia" w:cstheme="minorEastAsia"/>
          <w:kern w:val="2"/>
          <w:sz w:val="24"/>
          <w:szCs w:val="20"/>
          <w:highlight w:val="none"/>
          <w:lang w:val="en-US" w:eastAsia="zh-CN" w:bidi="ar-SA"/>
        </w:rPr>
        <w:t>《电力变压器 第1部分：总则》GB 1094.1-2013</w:t>
      </w:r>
    </w:p>
    <w:p w14:paraId="2479A61A">
      <w:pPr>
        <w:pStyle w:val="15"/>
        <w:numPr>
          <w:ilvl w:val="0"/>
          <w:numId w:val="0"/>
        </w:numPr>
        <w:ind w:left="288" w:leftChars="0" w:hanging="288" w:firstLineChars="0"/>
        <w:rPr>
          <w:rFonts w:hint="eastAsia" w:asciiTheme="minorEastAsia" w:hAnsiTheme="minorEastAsia" w:eastAsiaTheme="minorEastAsia" w:cstheme="minorEastAsia"/>
          <w:kern w:val="2"/>
          <w:sz w:val="24"/>
          <w:szCs w:val="20"/>
          <w:highlight w:val="none"/>
          <w:lang w:val="en-US" w:eastAsia="zh-CN" w:bidi="ar-SA"/>
        </w:rPr>
      </w:pPr>
      <w:r>
        <w:rPr>
          <w:rFonts w:hint="eastAsia" w:asciiTheme="minorEastAsia" w:hAnsiTheme="minorEastAsia" w:eastAsiaTheme="minorEastAsia" w:cstheme="minorEastAsia"/>
          <w:kern w:val="2"/>
          <w:sz w:val="24"/>
          <w:szCs w:val="20"/>
          <w:highlight w:val="none"/>
          <w:lang w:val="en-US" w:eastAsia="zh-CN" w:bidi="ar-SA"/>
        </w:rPr>
        <w:t>《油浸式配电变压器能效限定值及能效等级》GB 20052-2020</w:t>
      </w:r>
    </w:p>
    <w:p w14:paraId="2BCE61BE">
      <w:pPr>
        <w:pStyle w:val="15"/>
        <w:numPr>
          <w:ilvl w:val="0"/>
          <w:numId w:val="0"/>
        </w:numPr>
        <w:ind w:left="288" w:leftChars="0" w:hanging="288" w:firstLineChars="0"/>
        <w:rPr>
          <w:rFonts w:hint="eastAsia" w:asciiTheme="minorEastAsia" w:hAnsiTheme="minorEastAsia" w:eastAsiaTheme="minorEastAsia" w:cstheme="minorEastAsia"/>
          <w:kern w:val="2"/>
          <w:sz w:val="24"/>
          <w:szCs w:val="20"/>
          <w:highlight w:val="none"/>
          <w:lang w:val="en-US" w:eastAsia="zh-CN" w:bidi="ar-SA"/>
        </w:rPr>
      </w:pPr>
      <w:r>
        <w:rPr>
          <w:rFonts w:hint="eastAsia" w:asciiTheme="minorEastAsia" w:hAnsiTheme="minorEastAsia" w:eastAsiaTheme="minorEastAsia" w:cstheme="minorEastAsia"/>
          <w:kern w:val="2"/>
          <w:sz w:val="24"/>
          <w:szCs w:val="20"/>
          <w:highlight w:val="none"/>
          <w:lang w:val="en-US" w:eastAsia="zh-CN" w:bidi="ar-SA"/>
        </w:rPr>
        <w:t>《10kV及以下架空配电线路施工及验收规范》GB 50173-2014</w:t>
      </w:r>
    </w:p>
    <w:p w14:paraId="13712146">
      <w:pPr>
        <w:pStyle w:val="15"/>
        <w:numPr>
          <w:ilvl w:val="0"/>
          <w:numId w:val="0"/>
        </w:numPr>
        <w:rPr>
          <w:rFonts w:hint="eastAsia" w:asciiTheme="minorEastAsia" w:hAnsiTheme="minorEastAsia" w:eastAsiaTheme="minorEastAsia" w:cstheme="minorEastAsia"/>
          <w:kern w:val="2"/>
          <w:sz w:val="24"/>
          <w:szCs w:val="20"/>
          <w:highlight w:val="none"/>
          <w:lang w:val="en-US" w:eastAsia="zh-CN" w:bidi="ar-SA"/>
        </w:rPr>
      </w:pPr>
      <w:r>
        <w:rPr>
          <w:rFonts w:hint="eastAsia" w:asciiTheme="minorEastAsia" w:hAnsiTheme="minorEastAsia" w:eastAsiaTheme="minorEastAsia" w:cstheme="minorEastAsia"/>
          <w:kern w:val="2"/>
          <w:sz w:val="24"/>
          <w:szCs w:val="20"/>
          <w:highlight w:val="none"/>
          <w:lang w:val="en-US" w:eastAsia="zh-CN" w:bidi="ar-SA"/>
        </w:rPr>
        <w:t>《电气装置安装工程接地装置施工及验收规范》GB 50169-2016</w:t>
      </w:r>
    </w:p>
    <w:p w14:paraId="12F77D29">
      <w:pPr>
        <w:pStyle w:val="15"/>
        <w:numPr>
          <w:ilvl w:val="0"/>
          <w:numId w:val="0"/>
        </w:numPr>
        <w:ind w:left="288" w:leftChars="0" w:hanging="288" w:firstLineChars="0"/>
        <w:rPr>
          <w:rFonts w:hint="eastAsia" w:asciiTheme="minorEastAsia" w:hAnsiTheme="minorEastAsia" w:eastAsiaTheme="minorEastAsia" w:cstheme="minorEastAsia"/>
          <w:kern w:val="2"/>
          <w:sz w:val="24"/>
          <w:szCs w:val="20"/>
          <w:highlight w:val="none"/>
          <w:lang w:val="en-US" w:eastAsia="zh-CN" w:bidi="ar-SA"/>
        </w:rPr>
      </w:pPr>
      <w:r>
        <w:rPr>
          <w:rFonts w:hint="eastAsia" w:asciiTheme="minorEastAsia" w:hAnsiTheme="minorEastAsia" w:eastAsiaTheme="minorEastAsia" w:cstheme="minorEastAsia"/>
          <w:kern w:val="2"/>
          <w:sz w:val="24"/>
          <w:szCs w:val="20"/>
          <w:highlight w:val="none"/>
          <w:lang w:val="en-US" w:eastAsia="zh-CN" w:bidi="ar-SA"/>
        </w:rPr>
        <w:t>《配电变压器运行规程》DL/T 1102-2018</w:t>
      </w:r>
    </w:p>
    <w:p w14:paraId="6B7CD995">
      <w:pPr>
        <w:pStyle w:val="15"/>
        <w:numPr>
          <w:ilvl w:val="0"/>
          <w:numId w:val="0"/>
        </w:numPr>
        <w:ind w:left="288" w:leftChars="0" w:hanging="288" w:firstLineChars="0"/>
        <w:rPr>
          <w:rFonts w:hint="eastAsia" w:asciiTheme="minorEastAsia" w:hAnsiTheme="minorEastAsia" w:eastAsiaTheme="minorEastAsia" w:cstheme="minorEastAsia"/>
          <w:kern w:val="2"/>
          <w:sz w:val="24"/>
          <w:szCs w:val="20"/>
          <w:highlight w:val="none"/>
          <w:lang w:val="en-US" w:eastAsia="zh-CN" w:bidi="ar-SA"/>
        </w:rPr>
      </w:pPr>
      <w:r>
        <w:rPr>
          <w:rFonts w:hint="eastAsia" w:asciiTheme="minorEastAsia" w:hAnsiTheme="minorEastAsia" w:eastAsiaTheme="minorEastAsia" w:cstheme="minorEastAsia"/>
          <w:kern w:val="2"/>
          <w:sz w:val="24"/>
          <w:szCs w:val="20"/>
          <w:highlight w:val="none"/>
          <w:lang w:val="en-US" w:eastAsia="zh-CN" w:bidi="ar-SA"/>
        </w:rPr>
        <w:t>《农网改造升级工程技术导则》DL/T 5231-2018</w:t>
      </w:r>
    </w:p>
    <w:p w14:paraId="69A02F3D">
      <w:pPr>
        <w:pStyle w:val="15"/>
        <w:numPr>
          <w:ilvl w:val="0"/>
          <w:numId w:val="0"/>
        </w:numPr>
        <w:ind w:left="288" w:leftChars="0" w:hanging="288" w:firstLineChars="0"/>
        <w:rPr>
          <w:rFonts w:hint="eastAsia" w:asciiTheme="minorEastAsia" w:hAnsiTheme="minorEastAsia" w:eastAsiaTheme="minorEastAsia" w:cstheme="minorEastAsia"/>
          <w:kern w:val="2"/>
          <w:sz w:val="24"/>
          <w:szCs w:val="20"/>
          <w:highlight w:val="none"/>
          <w:lang w:val="en-US" w:eastAsia="zh-CN" w:bidi="ar-SA"/>
        </w:rPr>
      </w:pPr>
      <w:r>
        <w:rPr>
          <w:rFonts w:hint="eastAsia" w:asciiTheme="minorEastAsia" w:hAnsiTheme="minorEastAsia" w:eastAsiaTheme="minorEastAsia" w:cstheme="minorEastAsia"/>
          <w:kern w:val="2"/>
          <w:sz w:val="24"/>
          <w:szCs w:val="20"/>
          <w:highlight w:val="none"/>
          <w:lang w:val="en-US" w:eastAsia="zh-CN" w:bidi="ar-SA"/>
        </w:rPr>
        <w:t>国家电网配网设备技术标准、低损耗变压器技术规范</w:t>
      </w:r>
    </w:p>
    <w:p w14:paraId="55097E72">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outlineLvl w:val="0"/>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二、技术要求</w:t>
      </w:r>
    </w:p>
    <w:p w14:paraId="26B4C396">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2.1设备为S20新一代超低损耗全密封油浸式变压器，无渗漏、免维护，适配户外露天恶劣环境运行，具备防潮、防尘、防污闪、抗老化性能。</w:t>
      </w:r>
    </w:p>
    <w:p w14:paraId="3E64B5E4">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2.2整体结构全密封设计，采用真空注油工艺，油箱整体焊接无焊缝渗漏，无需呼吸器，长期户外运行免维护。</w:t>
      </w:r>
    </w:p>
    <w:p w14:paraId="1FCB225B">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2.3铁心采用高导磁冷轧取向硅钢片，全斜接缝、多级步进叠片工艺，有效降低空载损耗、空载电流及运行噪音。</w:t>
      </w:r>
    </w:p>
    <w:p w14:paraId="4CABF9C3">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2.4高低压绕组采用纯铜导线，绝缘材料耐高温、耐老化、抗局放，满足长期满负荷运行要求。</w:t>
      </w:r>
    </w:p>
    <w:p w14:paraId="708E0EE7">
      <w:pPr>
        <w:pStyle w:val="15"/>
        <w:numPr>
          <w:ilvl w:val="0"/>
          <w:numId w:val="0"/>
        </w:numPr>
        <w:ind w:left="288" w:leftChars="0" w:hanging="288" w:firstLineChars="0"/>
        <w:rPr>
          <w:rFonts w:hint="eastAsia" w:asciiTheme="minorEastAsia" w:hAnsiTheme="minorEastAsia" w:eastAsiaTheme="minorEastAsia" w:cstheme="minorEastAsia"/>
          <w:color w:val="FF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2.5</w:t>
      </w:r>
      <w:r>
        <w:rPr>
          <w:rFonts w:hint="eastAsia" w:asciiTheme="minorEastAsia" w:hAnsiTheme="minorEastAsia" w:eastAsiaTheme="minorEastAsia" w:cstheme="minorEastAsia"/>
          <w:color w:val="FF0000"/>
          <w:kern w:val="2"/>
          <w:sz w:val="24"/>
          <w:szCs w:val="24"/>
          <w:lang w:val="en-US" w:eastAsia="zh-CN" w:bidi="ar-SA"/>
        </w:rPr>
        <w:t>变压器油箱材质符合国家标准要求，表面静电喷塑防腐处理，耐腐蚀、抗暴晒，适配野外长期运行。</w:t>
      </w:r>
    </w:p>
    <w:p w14:paraId="559DB991">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2.6 能效及损耗标准（S20国标标准）</w:t>
      </w:r>
      <w:bookmarkStart w:id="4" w:name="_GoBack"/>
      <w:bookmarkEnd w:id="4"/>
    </w:p>
    <w:p w14:paraId="73571321">
      <w:pPr>
        <w:pStyle w:val="15"/>
        <w:numPr>
          <w:ilvl w:val="0"/>
          <w:numId w:val="0"/>
        </w:numPr>
        <w:ind w:left="524" w:leftChars="187" w:firstLine="235" w:firstLineChars="98"/>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空载损耗：≤480W</w:t>
      </w:r>
    </w:p>
    <w:p w14:paraId="5A3799DE">
      <w:pPr>
        <w:pStyle w:val="15"/>
        <w:numPr>
          <w:ilvl w:val="0"/>
          <w:numId w:val="0"/>
        </w:numPr>
        <w:ind w:left="524" w:leftChars="187" w:firstLine="235" w:firstLineChars="98"/>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负载损耗（75℃）：≤6200W</w:t>
      </w:r>
    </w:p>
    <w:p w14:paraId="24FD00CA">
      <w:pPr>
        <w:pStyle w:val="15"/>
        <w:numPr>
          <w:ilvl w:val="0"/>
          <w:numId w:val="0"/>
        </w:numPr>
        <w:ind w:left="524" w:leftChars="187" w:firstLine="235" w:firstLineChars="98"/>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空载电流：≤0.45%</w:t>
      </w:r>
    </w:p>
    <w:p w14:paraId="0C241F72">
      <w:pPr>
        <w:pStyle w:val="15"/>
        <w:numPr>
          <w:ilvl w:val="0"/>
          <w:numId w:val="0"/>
        </w:numPr>
        <w:ind w:firstLine="720" w:firstLineChars="30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短路阻抗：6%（标准配电阻抗）</w:t>
      </w:r>
    </w:p>
    <w:p w14:paraId="552068DE">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绝缘与电气性能</w:t>
      </w:r>
    </w:p>
    <w:p w14:paraId="3C119FDE">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工频耐压：高压侧35kV/1min、低压侧5kV/1min，无击穿、无闪络</w:t>
      </w:r>
    </w:p>
    <w:p w14:paraId="120CD568">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雷电冲击耐压：高压75kV，满足10kV配电绝缘要求</w:t>
      </w:r>
    </w:p>
    <w:p w14:paraId="27A177B9">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适配环境：海拔≤1000m，环境温度-25℃~+40℃，Ⅲ级污秽地区</w:t>
      </w:r>
    </w:p>
    <w:p w14:paraId="15AB3CE3">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2.7 配套附件技术要求</w:t>
      </w:r>
    </w:p>
    <w:p w14:paraId="4EFDE373">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高压、低压复合绝缘套管，带大伞裙防污闪结构，适配户外环境；</w:t>
      </w:r>
    </w:p>
    <w:p w14:paraId="0EF233A6">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箱外手动无励磁分接开关，三档调压（±5%），操作灵活、接触可靠；</w:t>
      </w:r>
    </w:p>
    <w:p w14:paraId="09ED0047">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配置不锈钢防腐铭牌、接地端子、放油取样阀、压力释放装置；</w:t>
      </w:r>
    </w:p>
    <w:p w14:paraId="6F6D9990">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填充25#环烷基专用变压器油，符合GB 2536标准，击穿电压≥45kV。</w:t>
      </w:r>
    </w:p>
    <w:p w14:paraId="0081D876">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2.8 出厂资料要求</w:t>
      </w:r>
    </w:p>
    <w:p w14:paraId="7B5C8F01">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设备出厂必须附带：产品合格证、出厂全套试验报告、设备安装使用说明书、外形尺寸图纸、出厂检测记录表、能效认证报告。</w:t>
      </w:r>
    </w:p>
    <w:p w14:paraId="3200EFDD">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2.9配套材料及设备技术要求</w:t>
      </w:r>
    </w:p>
    <w:p w14:paraId="3569E8E9">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1.电杆：采用国标预应力混凝土电杆，高度12m，根开2.5m，配置底盘、卡盘，满足承重及抗风要求；</w:t>
      </w:r>
    </w:p>
    <w:p w14:paraId="4337B75D">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2.杆架金具：全部采用热镀锌钢制件，10#槽钢横担、承重托梁，无锈蚀、无变形，螺栓采用8.8级高强度防盗螺栓；</w:t>
      </w:r>
    </w:p>
    <w:p w14:paraId="796408B0">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3.高压设备：10kV跌落式熔断器、无间隙氧化锌避雷器，适配630kVA变压器额定电流；</w:t>
      </w:r>
    </w:p>
    <w:p w14:paraId="36ECCDC7">
      <w:pPr>
        <w:pStyle w:val="15"/>
        <w:numPr>
          <w:ilvl w:val="0"/>
          <w:numId w:val="0"/>
        </w:numPr>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4.引线材料：采用国标高压绝缘架空线、低压绝缘导线，铜铝过渡端子配备抗氧化处理；</w:t>
      </w:r>
    </w:p>
    <w:p w14:paraId="0BB528C2">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 xml:space="preserve"> 5.接地材料：热镀锌扁钢-50×5、镀锌角钢接地极∠50×5×2500mm，满足配电接地规范。</w:t>
      </w:r>
    </w:p>
    <w:p w14:paraId="1E5CF030">
      <w:pPr>
        <w:pStyle w:val="15"/>
        <w:numPr>
          <w:ilvl w:val="0"/>
          <w:numId w:val="0"/>
        </w:numPr>
        <w:ind w:left="288" w:leftChars="0" w:hanging="288" w:firstLineChars="0"/>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3.0电气接线工艺</w:t>
      </w:r>
    </w:p>
    <w:p w14:paraId="2B8304F1">
      <w:pPr>
        <w:pStyle w:val="15"/>
        <w:numPr>
          <w:ilvl w:val="0"/>
          <w:numId w:val="1"/>
        </w:numPr>
        <w:ind w:left="290" w:leftChars="102" w:hanging="4" w:hangingChars="2"/>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高低压引线弧度自然、松紧适度，无硬拉、无扭曲；接线端子清洁无氧化，涂抹电力复合脂紧固；严格按照A黄、B绿、C红相序规范施工，相位准确无误。</w:t>
      </w:r>
    </w:p>
    <w:p w14:paraId="0C6F23C1">
      <w:pPr>
        <w:pStyle w:val="15"/>
        <w:numPr>
          <w:ilvl w:val="0"/>
          <w:numId w:val="1"/>
        </w:numPr>
        <w:ind w:left="290" w:leftChars="102" w:hanging="4" w:hangingChars="2"/>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避雷器安装位置贴近变压器高压侧，引线短直，最大限度降低防雷距离。</w:t>
      </w:r>
    </w:p>
    <w:p w14:paraId="02093380">
      <w:pPr>
        <w:pStyle w:val="15"/>
        <w:numPr>
          <w:ilvl w:val="0"/>
          <w:numId w:val="0"/>
        </w:numPr>
        <w:ind w:left="290" w:leftChars="102" w:hanging="4" w:hangingChars="2"/>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接地系统施工</w:t>
      </w:r>
    </w:p>
    <w:p w14:paraId="7098DFBA">
      <w:pPr>
        <w:pStyle w:val="15"/>
        <w:numPr>
          <w:ilvl w:val="0"/>
          <w:numId w:val="1"/>
        </w:numPr>
        <w:ind w:left="290" w:leftChars="102" w:hanging="4" w:hangingChars="2"/>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变压器外壳、低压中性点、避雷器、电杆金属构件四点合一集中接地，接地体深埋地下，接地干线焊接饱满、防腐处理到位。</w:t>
      </w:r>
    </w:p>
    <w:p w14:paraId="4713051C">
      <w:pPr>
        <w:pStyle w:val="15"/>
        <w:numPr>
          <w:ilvl w:val="0"/>
          <w:numId w:val="0"/>
        </w:numPr>
        <w:ind w:left="290" w:leftChars="102" w:hanging="4" w:hangingChars="2"/>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color w:val="000000"/>
          <w:kern w:val="2"/>
          <w:sz w:val="24"/>
          <w:szCs w:val="24"/>
          <w:lang w:val="en-US" w:eastAsia="zh-CN" w:bidi="ar-SA"/>
        </w:rPr>
        <w:t>4.整体接地电阻≤4Ω，满足10kV配电变压器接地规范要求。</w:t>
      </w:r>
    </w:p>
    <w:p w14:paraId="72DB43F2">
      <w:pPr>
        <w:pStyle w:val="3"/>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kern w:val="2"/>
          <w:sz w:val="24"/>
          <w:szCs w:val="24"/>
          <w:lang w:val="en-US" w:eastAsia="zh-CN" w:bidi="ar-SA"/>
        </w:rPr>
        <w:t>3.1试验与调试标准</w:t>
      </w:r>
    </w:p>
    <w:p w14:paraId="3BAF9A0D">
      <w:pPr>
        <w:pStyle w:val="15"/>
        <w:ind w:firstLine="240" w:firstLineChars="100"/>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kern w:val="2"/>
          <w:sz w:val="24"/>
          <w:szCs w:val="24"/>
          <w:lang w:val="en-US" w:eastAsia="zh-CN" w:bidi="ar-SA"/>
        </w:rPr>
        <w:t>工程安装完成后，必须开展全套交接试验，试验数据全部合格方可投运：</w:t>
      </w:r>
    </w:p>
    <w:p w14:paraId="59D65120">
      <w:pPr>
        <w:pStyle w:val="15"/>
        <w:numPr>
          <w:ilvl w:val="0"/>
          <w:numId w:val="2"/>
        </w:numPr>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kern w:val="2"/>
          <w:sz w:val="24"/>
          <w:szCs w:val="24"/>
          <w:lang w:val="en-US" w:eastAsia="zh-CN" w:bidi="ar-SA"/>
        </w:rPr>
        <w:t>绝缘电阻测试：高压对地、高压对低压绝缘电阻≥1000MΩ；低压对地绝缘电阻≥500MΩ；</w:t>
      </w:r>
    </w:p>
    <w:p w14:paraId="50F8C1D9">
      <w:pPr>
        <w:pStyle w:val="15"/>
        <w:numPr>
          <w:ilvl w:val="0"/>
          <w:numId w:val="2"/>
        </w:numPr>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kern w:val="2"/>
          <w:sz w:val="24"/>
          <w:szCs w:val="24"/>
          <w:lang w:val="en-US" w:eastAsia="zh-CN" w:bidi="ar-SA"/>
        </w:rPr>
        <w:t>接地电阻测试：整体接地电阻≤4Ω；</w:t>
      </w:r>
    </w:p>
    <w:p w14:paraId="42411466">
      <w:pPr>
        <w:pStyle w:val="15"/>
        <w:numPr>
          <w:ilvl w:val="0"/>
          <w:numId w:val="2"/>
        </w:numPr>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kern w:val="2"/>
          <w:sz w:val="24"/>
          <w:szCs w:val="24"/>
          <w:lang w:val="en-US" w:eastAsia="zh-CN" w:bidi="ar-SA"/>
        </w:rPr>
        <w:t>变比、组别核对：变比误差合规，Dyn11联结组别正确；</w:t>
      </w:r>
    </w:p>
    <w:p w14:paraId="39B975D9">
      <w:pPr>
        <w:pStyle w:val="15"/>
        <w:numPr>
          <w:ilvl w:val="0"/>
          <w:numId w:val="2"/>
        </w:numPr>
        <w:rPr>
          <w:rFonts w:hint="eastAsia" w:asciiTheme="minorEastAsia" w:hAnsiTheme="minorEastAsia" w:eastAsiaTheme="minorEastAsia" w:cstheme="minorEastAsia"/>
          <w:b w:val="0"/>
          <w:bCs w:val="0"/>
          <w:color w:val="000000"/>
          <w:kern w:val="2"/>
          <w:sz w:val="24"/>
          <w:szCs w:val="24"/>
          <w:lang w:val="en-US" w:eastAsia="zh-CN" w:bidi="ar-SA"/>
        </w:rPr>
      </w:pPr>
      <w:r>
        <w:rPr>
          <w:rFonts w:hint="eastAsia" w:asciiTheme="minorEastAsia" w:hAnsiTheme="minorEastAsia" w:eastAsiaTheme="minorEastAsia" w:cstheme="minorEastAsia"/>
          <w:b w:val="0"/>
          <w:bCs w:val="0"/>
          <w:color w:val="000000"/>
          <w:kern w:val="2"/>
          <w:sz w:val="24"/>
          <w:szCs w:val="24"/>
          <w:lang w:val="en-US" w:eastAsia="zh-CN" w:bidi="ar-SA"/>
        </w:rPr>
        <w:t>外观密封检查：变压器无渗油、漏油，套管无破损、无裂纹；</w:t>
      </w:r>
    </w:p>
    <w:p w14:paraId="4D09C17C">
      <w:pPr>
        <w:pStyle w:val="15"/>
        <w:numPr>
          <w:ilvl w:val="0"/>
          <w:numId w:val="2"/>
        </w:numPr>
        <w:rPr>
          <w:rFonts w:hint="eastAsia" w:asciiTheme="minorEastAsia" w:hAnsiTheme="minorEastAsia" w:eastAsiaTheme="minorEastAsia" w:cstheme="minorEastAsia"/>
          <w:color w:val="000000"/>
          <w:kern w:val="2"/>
          <w:sz w:val="24"/>
          <w:szCs w:val="24"/>
          <w:lang w:val="en-US" w:eastAsia="zh-CN" w:bidi="ar-SA"/>
        </w:rPr>
      </w:pPr>
      <w:r>
        <w:rPr>
          <w:rFonts w:hint="eastAsia" w:asciiTheme="minorEastAsia" w:hAnsiTheme="minorEastAsia" w:eastAsiaTheme="minorEastAsia" w:cstheme="minorEastAsia"/>
          <w:b w:val="0"/>
          <w:bCs w:val="0"/>
          <w:color w:val="000000"/>
          <w:kern w:val="2"/>
          <w:sz w:val="24"/>
          <w:szCs w:val="24"/>
          <w:lang w:val="en-US" w:eastAsia="zh-CN" w:bidi="ar-SA"/>
        </w:rPr>
        <w:t>接线核查：引线连接牢固、相序正确、设备附件齐全完好。</w:t>
      </w:r>
    </w:p>
    <w:p w14:paraId="3E644D37">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4.关键元器件选型表</w:t>
      </w:r>
    </w:p>
    <w:tbl>
      <w:tblPr>
        <w:tblStyle w:val="7"/>
        <w:tblW w:w="9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78"/>
        <w:gridCol w:w="2057"/>
        <w:gridCol w:w="4137"/>
        <w:gridCol w:w="601"/>
      </w:tblGrid>
      <w:tr w14:paraId="71F3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17" w:type="dxa"/>
            <w:shd w:val="clear" w:color="auto" w:fill="auto"/>
            <w:noWrap w:val="0"/>
            <w:vAlign w:val="center"/>
          </w:tcPr>
          <w:p w14:paraId="55750E4A">
            <w:pPr>
              <w:pStyle w:val="14"/>
              <w:jc w:val="center"/>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978" w:type="dxa"/>
            <w:shd w:val="clear" w:color="auto" w:fill="auto"/>
            <w:noWrap w:val="0"/>
            <w:vAlign w:val="center"/>
          </w:tcPr>
          <w:p w14:paraId="68A50266">
            <w:pPr>
              <w:pStyle w:val="14"/>
              <w:jc w:val="center"/>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变压器</w:t>
            </w:r>
          </w:p>
        </w:tc>
        <w:tc>
          <w:tcPr>
            <w:tcW w:w="2057" w:type="dxa"/>
            <w:shd w:val="clear" w:color="auto" w:fill="auto"/>
            <w:noWrap w:val="0"/>
            <w:vAlign w:val="center"/>
          </w:tcPr>
          <w:p w14:paraId="4F4CB653">
            <w:pPr>
              <w:pStyle w:val="14"/>
              <w:jc w:val="center"/>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i w:val="0"/>
                <w:iCs w:val="0"/>
                <w:color w:val="000000"/>
                <w:kern w:val="0"/>
                <w:sz w:val="24"/>
                <w:szCs w:val="24"/>
                <w:u w:val="none"/>
                <w:lang w:val="en-US" w:eastAsia="zh-CN" w:bidi="ar"/>
              </w:rPr>
              <w:t>S20-M-630/10/0.4</w:t>
            </w:r>
          </w:p>
        </w:tc>
        <w:tc>
          <w:tcPr>
            <w:tcW w:w="4137" w:type="dxa"/>
            <w:shd w:val="clear" w:color="auto" w:fill="auto"/>
            <w:noWrap w:val="0"/>
            <w:vAlign w:val="center"/>
          </w:tcPr>
          <w:p w14:paraId="2A3377FE">
            <w:pPr>
              <w:pStyle w:val="14"/>
              <w:jc w:val="center"/>
              <w:rPr>
                <w:rFonts w:hint="default" w:asciiTheme="minorEastAsia" w:hAnsiTheme="minorEastAsia" w:eastAsiaTheme="minorEastAsia" w:cstheme="minorEastAsia"/>
                <w:i w:val="0"/>
                <w:iCs w:val="0"/>
                <w:kern w:val="2"/>
                <w:sz w:val="24"/>
                <w:szCs w:val="24"/>
                <w:lang w:val="en-US" w:eastAsia="zh-CN"/>
              </w:rPr>
            </w:pPr>
            <w:r>
              <w:rPr>
                <w:rFonts w:hint="eastAsia" w:asciiTheme="minorEastAsia" w:hAnsiTheme="minorEastAsia" w:eastAsiaTheme="minorEastAsia" w:cstheme="minorEastAsia"/>
                <w:i w:val="0"/>
                <w:iCs w:val="0"/>
                <w:kern w:val="2"/>
                <w:sz w:val="24"/>
                <w:szCs w:val="24"/>
                <w:lang w:val="en-US" w:eastAsia="zh-CN"/>
              </w:rPr>
              <w:t>新疆特变、广东顺特电气、先锋电力、金盘科技、三变科技、扬电科技</w:t>
            </w:r>
          </w:p>
        </w:tc>
        <w:tc>
          <w:tcPr>
            <w:tcW w:w="601" w:type="dxa"/>
            <w:shd w:val="clear" w:color="auto" w:fill="auto"/>
            <w:noWrap w:val="0"/>
            <w:vAlign w:val="center"/>
          </w:tcPr>
          <w:p w14:paraId="257973A0">
            <w:pPr>
              <w:pStyle w:val="14"/>
              <w:jc w:val="center"/>
              <w:rPr>
                <w:rFonts w:hint="eastAsia" w:asciiTheme="minorEastAsia" w:hAnsiTheme="minorEastAsia" w:eastAsiaTheme="minorEastAsia" w:cstheme="minorEastAsia"/>
                <w:kern w:val="2"/>
                <w:sz w:val="24"/>
                <w:szCs w:val="24"/>
                <w:lang w:val="en-US" w:eastAsia="zh-CN"/>
              </w:rPr>
            </w:pPr>
          </w:p>
        </w:tc>
      </w:tr>
    </w:tbl>
    <w:p w14:paraId="709A6D27">
      <w:pPr>
        <w:keepNext w:val="0"/>
        <w:keepLines w:val="0"/>
        <w:pageBreakBefore w:val="0"/>
        <w:widowControl w:val="0"/>
        <w:kinsoku/>
        <w:wordWrap/>
        <w:overflowPunct/>
        <w:topLinePunct w:val="0"/>
        <w:autoSpaceDE/>
        <w:autoSpaceDN/>
        <w:bidi w:val="0"/>
        <w:adjustRightInd/>
        <w:snapToGrid/>
        <w:spacing w:line="500" w:lineRule="exact"/>
        <w:textAlignment w:val="auto"/>
        <w:outlineLvl w:val="0"/>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三、质量保证和试验</w:t>
      </w:r>
    </w:p>
    <w:p w14:paraId="007E65AE">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1. 设计和制造应遵守的规范和标准</w:t>
      </w:r>
    </w:p>
    <w:p w14:paraId="27BB75CF">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1.1如果本技术条件书要求与规程规范和标准有明显抵触的条款,乙方应在签定合同中说明,并与甲方共同协商解决。 </w:t>
      </w:r>
    </w:p>
    <w:p w14:paraId="0709332F">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1.2从定货之日起至乙方开始制造之日的这段时间,甲方有权提出因规程、规范和标准发生变化而产生的补充要求,乙方应遵守这些要求。且不论甲方知道与否，乙方有责任及时书面通知甲方有关规程、规范和标准发生的变化。</w:t>
      </w:r>
    </w:p>
    <w:p w14:paraId="64AEEAEC">
      <w:pPr>
        <w:widowControl/>
        <w:numPr>
          <w:ilvl w:val="0"/>
          <w:numId w:val="3"/>
        </w:numPr>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质量保证 </w:t>
      </w:r>
    </w:p>
    <w:p w14:paraId="50A409D1">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2.1乙方应有完善的质量保证体系,这些体系应符合ISO9000系列的要求,乙方在投标书中应对质量保证体系作出说明。 </w:t>
      </w:r>
    </w:p>
    <w:p w14:paraId="71507313">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2.3乙方应提供下列技术文件： </w:t>
      </w:r>
    </w:p>
    <w:p w14:paraId="3D86D980">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2.3.1产品合格证，包括变压器合格证书、主要组部件合格证书</w:t>
      </w:r>
    </w:p>
    <w:p w14:paraId="21DF271D">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2.3.2制造、检验记录； </w:t>
      </w:r>
    </w:p>
    <w:p w14:paraId="097BDD68">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2.3.3材料合格证； </w:t>
      </w:r>
    </w:p>
    <w:p w14:paraId="4CBCAA39">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2.3.4必要的电气试验报告，包括变压器出厂、型式和特殊试验报告</w:t>
      </w:r>
    </w:p>
    <w:p w14:paraId="0D553EEC">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2.3.5必要的无损检验报告；  </w:t>
      </w:r>
    </w:p>
    <w:p w14:paraId="7428AFD1">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2.3.7运行、检修手册及其有关资料； </w:t>
      </w:r>
    </w:p>
    <w:p w14:paraId="60001087">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2.3.8备品备件、专用工具清单；</w:t>
      </w:r>
    </w:p>
    <w:p w14:paraId="4C86C9EA">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3产品试验 </w:t>
      </w:r>
    </w:p>
    <w:p w14:paraId="69F9C9FB">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3.1产品的试验应符合国家及机械部、电力部有关规范标准的要求。 </w:t>
      </w:r>
    </w:p>
    <w:p w14:paraId="12C057C5">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3.2箱式变电站应按照GB 17467、DL/T 537等有关国家标准和行业标准规定的项目、方法进行试验。</w:t>
      </w:r>
    </w:p>
    <w:p w14:paraId="7C930470">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3.3原则上，型式试验只能在典型的功能单元上进行。出厂试验、到货抽检应在每一台完整的预装式变电站上或在每一个运输单元上、在制造厂内（如果可行）进行。交接试验按照GB 50150执行</w:t>
      </w:r>
      <w:r>
        <w:rPr>
          <w:rFonts w:hint="eastAsia" w:ascii="Segoe UI" w:hAnsi="Segoe UI" w:eastAsia="宋体" w:cs="Segoe UI"/>
          <w:i w:val="0"/>
          <w:iCs w:val="0"/>
          <w:caps w:val="0"/>
          <w:spacing w:val="0"/>
          <w:sz w:val="24"/>
          <w:szCs w:val="24"/>
          <w:shd w:val="clear" w:fill="FCFCFC"/>
          <w:lang w:val="en-US" w:eastAsia="zh-CN"/>
        </w:rPr>
        <w:t>，</w:t>
      </w:r>
      <w:r>
        <w:rPr>
          <w:rFonts w:hint="eastAsia" w:asciiTheme="minorEastAsia" w:hAnsiTheme="minorEastAsia" w:eastAsiaTheme="minorEastAsia" w:cstheme="minorEastAsia"/>
          <w:color w:val="000000"/>
          <w:sz w:val="24"/>
          <w:szCs w:val="24"/>
          <w:lang w:val="en-US" w:eastAsia="zh-CN"/>
        </w:rPr>
        <w:t>应在现场预装式变电站安装完成后进行。</w:t>
      </w:r>
    </w:p>
    <w:p w14:paraId="2C21DB11">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3.4以下试验项目是甲方提出的最低要求： </w:t>
      </w:r>
    </w:p>
    <w:p w14:paraId="7524C9C1">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3.4.1线圈直流电阻 </w:t>
      </w:r>
    </w:p>
    <w:p w14:paraId="132ABBBD">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3.4.2绝缘电阻、变压比及极性检查 </w:t>
      </w:r>
    </w:p>
    <w:p w14:paraId="53FB5E60">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3.4.3联接组标号 </w:t>
      </w:r>
    </w:p>
    <w:p w14:paraId="0C89352D">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3.4.4工频耐压</w:t>
      </w:r>
    </w:p>
    <w:p w14:paraId="7E5AFE3D">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3.4.5空载试验,包括空载损耗(PO)与空载电流(IO). </w:t>
      </w:r>
    </w:p>
    <w:p w14:paraId="5D02CCA6">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3.4.6负载试验,包括负载损耗(PK)与阻抗压降(UK) </w:t>
      </w:r>
    </w:p>
    <w:p w14:paraId="34C141E6">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3.4.7绝缘油试验 </w:t>
      </w:r>
    </w:p>
    <w:p w14:paraId="5FB3D0AA">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3.4.8有代表性的产品型式试验报告,包括冲击试验,温升试验报告等。</w:t>
      </w:r>
    </w:p>
    <w:p w14:paraId="3836FC84">
      <w:pPr>
        <w:keepNext w:val="0"/>
        <w:keepLines w:val="0"/>
        <w:pageBreakBefore w:val="0"/>
        <w:widowControl w:val="0"/>
        <w:kinsoku/>
        <w:wordWrap/>
        <w:overflowPunct/>
        <w:topLinePunct w:val="0"/>
        <w:autoSpaceDE/>
        <w:autoSpaceDN/>
        <w:bidi w:val="0"/>
        <w:adjustRightInd/>
        <w:snapToGrid/>
        <w:spacing w:line="500" w:lineRule="exact"/>
        <w:textAlignment w:val="auto"/>
        <w:outlineLvl w:val="0"/>
        <w:rPr>
          <w:rFonts w:hint="eastAsia" w:asciiTheme="minorEastAsia" w:hAnsiTheme="minorEastAsia" w:eastAsiaTheme="minorEastAsia" w:cstheme="minorEastAsia"/>
          <w:b/>
          <w:sz w:val="28"/>
          <w:szCs w:val="28"/>
          <w:lang w:val="en-US" w:eastAsia="zh-CN"/>
        </w:rPr>
      </w:pPr>
      <w:r>
        <w:rPr>
          <w:rFonts w:hint="eastAsia" w:asciiTheme="minorEastAsia" w:hAnsiTheme="minorEastAsia" w:eastAsiaTheme="minorEastAsia" w:cstheme="minorEastAsia"/>
          <w:b/>
          <w:sz w:val="28"/>
          <w:szCs w:val="28"/>
          <w:lang w:val="en-US" w:eastAsia="zh-CN"/>
        </w:rPr>
        <w:t xml:space="preserve">四、技术服务、工厂检验和监造 </w:t>
      </w:r>
    </w:p>
    <w:p w14:paraId="1729DCB8">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1. 技术服务 </w:t>
      </w:r>
    </w:p>
    <w:p w14:paraId="745F56CD">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default" w:asciiTheme="minorEastAsia" w:hAnsiTheme="minorEastAsia" w:eastAsiaTheme="minorEastAsia" w:cstheme="minorEastAsia"/>
          <w:color w:val="000000"/>
          <w:sz w:val="24"/>
          <w:szCs w:val="24"/>
          <w:lang w:val="en-US" w:eastAsia="zh-CN"/>
        </w:rPr>
        <w:t>1.1</w:t>
      </w:r>
      <w:r>
        <w:rPr>
          <w:rFonts w:hint="eastAsia" w:asciiTheme="minorEastAsia" w:hAnsiTheme="minorEastAsia" w:eastAsiaTheme="minorEastAsia" w:cstheme="minorEastAsia"/>
          <w:color w:val="000000"/>
          <w:sz w:val="24"/>
          <w:szCs w:val="24"/>
          <w:lang w:val="en-US" w:eastAsia="zh-CN"/>
        </w:rPr>
        <w:t>概述</w:t>
      </w:r>
    </w:p>
    <w:p w14:paraId="05E84952">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1.1.1乙方应根据甲方要求，指定售后服务人员，对设备安装相关业务负责。 </w:t>
      </w:r>
    </w:p>
    <w:p w14:paraId="5CE050C5">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1.1.2乙方应该根据工地施工的实际工作进展，及时提供技术服务。 </w:t>
      </w:r>
    </w:p>
    <w:p w14:paraId="2C18543F">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1.2 任务和责任 </w:t>
      </w:r>
    </w:p>
    <w:p w14:paraId="1F5A4311">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1.2.1乙方指定的售后服务人员，应在合同范围内全面与甲方代表充分合作与协商，以解决合同。</w:t>
      </w:r>
    </w:p>
    <w:p w14:paraId="6EF8E715">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1.2.2有关的技术和工作问题。双方的代表，未经双方授权，无权变更和修改合同。 </w:t>
      </w:r>
    </w:p>
    <w:p w14:paraId="17B6EF9E">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1.2.3乙方售后服务人员代表乙方，完成合同规定有关设备的技术服务。 </w:t>
      </w:r>
    </w:p>
    <w:p w14:paraId="386BB67F">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1.2.4乙方售后服务人员有义务协助甲方在现场对运行和维护的人员进行必要的培训。 </w:t>
      </w:r>
    </w:p>
    <w:p w14:paraId="69BF4036">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1.2.5乙方售后服务人员的技术指导应是正确的，如因错误指导而引起设备和材料的损坏，乙方 应负责修复、更换和</w:t>
      </w:r>
      <w:r>
        <w:rPr>
          <w:rFonts w:hint="default" w:asciiTheme="minorEastAsia" w:hAnsiTheme="minorEastAsia" w:eastAsiaTheme="minorEastAsia" w:cstheme="minorEastAsia"/>
          <w:color w:val="000000"/>
          <w:sz w:val="24"/>
          <w:szCs w:val="24"/>
          <w:lang w:val="en-US" w:eastAsia="zh-CN"/>
        </w:rPr>
        <w:t>/</w:t>
      </w:r>
      <w:r>
        <w:rPr>
          <w:rFonts w:hint="eastAsia" w:asciiTheme="minorEastAsia" w:hAnsiTheme="minorEastAsia" w:eastAsiaTheme="minorEastAsia" w:cstheme="minorEastAsia"/>
          <w:color w:val="000000"/>
          <w:sz w:val="24"/>
          <w:szCs w:val="24"/>
          <w:lang w:val="en-US" w:eastAsia="zh-CN"/>
        </w:rPr>
        <w:t xml:space="preserve">或补充，其费用由乙方承担，该费用中还包括进行修复期间所发生的服务费。甲方的有关技术人员应尊重乙方售后服务人员的技术指导。 </w:t>
      </w:r>
    </w:p>
    <w:p w14:paraId="35F54C51">
      <w:pPr>
        <w:widowControl/>
        <w:spacing w:line="360" w:lineRule="auto"/>
        <w:ind w:firstLine="480"/>
        <w:rPr>
          <w:rFonts w:hint="default"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1.3 在本合同有效期内，招投标双方应及时回答对方提出的技术文件范围内有关设计和技术的问题，由任一方提出的所有有关合同设备设计的修正或修改都应由对方参与讨论并同意。</w:t>
      </w:r>
    </w:p>
    <w:p w14:paraId="6135AEDF">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2 工厂检验和监造 </w:t>
      </w:r>
    </w:p>
    <w:p w14:paraId="749B64A0">
      <w:pPr>
        <w:widowControl/>
        <w:spacing w:line="360" w:lineRule="auto"/>
        <w:ind w:firstLine="480"/>
        <w:rPr>
          <w:rFonts w:hint="eastAsia" w:asciiTheme="minorEastAsia" w:hAnsiTheme="minorEastAsia" w:eastAsiaTheme="minorEastAsia" w:cstheme="minorEastAsia"/>
          <w:color w:val="000000"/>
          <w:sz w:val="24"/>
          <w:szCs w:val="24"/>
          <w:lang w:val="en-US" w:eastAsia="zh-CN"/>
        </w:rPr>
      </w:pPr>
      <w:r>
        <w:rPr>
          <w:rFonts w:hint="eastAsia" w:asciiTheme="minorEastAsia" w:hAnsiTheme="minorEastAsia" w:eastAsiaTheme="minorEastAsia" w:cstheme="minorEastAsia"/>
          <w:color w:val="000000"/>
          <w:sz w:val="24"/>
          <w:szCs w:val="24"/>
          <w:lang w:val="en-US" w:eastAsia="zh-CN"/>
        </w:rPr>
        <w:t xml:space="preserve">2.1 甲方有权对正在制造或制造完毕的产品进行抽查测试，检测产品质量或验证供应商试验的真实性，乙方应配合甲方做好抽查测试，费用由甲方承担。 </w:t>
      </w:r>
    </w:p>
    <w:p w14:paraId="6695BA58">
      <w:pPr>
        <w:widowControl/>
        <w:spacing w:line="360" w:lineRule="auto"/>
        <w:ind w:firstLine="480"/>
        <w:rPr>
          <w:rFonts w:hint="eastAsia" w:asciiTheme="minorEastAsia" w:hAnsiTheme="minorEastAsia" w:eastAsiaTheme="minorEastAsia" w:cstheme="minorEastAsia"/>
          <w:sz w:val="44"/>
          <w:szCs w:val="44"/>
          <w:lang w:val="en-US" w:eastAsia="zh-CN"/>
        </w:rPr>
      </w:pPr>
      <w:r>
        <w:rPr>
          <w:rFonts w:hint="eastAsia" w:asciiTheme="minorEastAsia" w:hAnsiTheme="minorEastAsia" w:eastAsiaTheme="minorEastAsia" w:cstheme="minorEastAsia"/>
          <w:color w:val="000000"/>
          <w:sz w:val="24"/>
          <w:szCs w:val="24"/>
          <w:lang w:val="en-US" w:eastAsia="zh-CN"/>
        </w:rPr>
        <w:t>2.2 若有合同设备经检验和抽检不符合本技术规范的要求，甲方可以拒收，并不承担费用。</w:t>
      </w:r>
      <w:bookmarkEnd w:id="0"/>
      <w:bookmarkEnd w:id="1"/>
    </w:p>
    <w:p w14:paraId="7F12B05B">
      <w:pPr>
        <w:adjustRightInd w:val="0"/>
        <w:snapToGrid w:val="0"/>
        <w:ind w:firstLine="880"/>
        <w:rPr>
          <w:rFonts w:hint="eastAsia" w:asciiTheme="minorEastAsia" w:hAnsiTheme="minorEastAsia" w:eastAsiaTheme="minorEastAsia" w:cstheme="minorEastAsia"/>
          <w:sz w:val="44"/>
          <w:szCs w:val="44"/>
        </w:rPr>
      </w:pPr>
    </w:p>
    <w:p w14:paraId="773108B5">
      <w:pPr>
        <w:adjustRightInd w:val="0"/>
        <w:snapToGrid w:val="0"/>
        <w:rPr>
          <w:rFonts w:hint="eastAsia" w:asciiTheme="minorEastAsia" w:hAnsiTheme="minorEastAsia" w:eastAsiaTheme="minorEastAsia" w:cstheme="minorEastAsia"/>
          <w:sz w:val="44"/>
          <w:szCs w:val="44"/>
        </w:rPr>
      </w:pPr>
    </w:p>
    <w:p w14:paraId="0FE60B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swiss"/>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宋体-18030">
    <w:altName w:val="宋体"/>
    <w:panose1 w:val="00000000000000000000"/>
    <w:charset w:val="86"/>
    <w:family w:val="modern"/>
    <w:pitch w:val="default"/>
    <w:sig w:usb0="00000000" w:usb1="00000000" w:usb2="000A005E" w:usb3="00000000" w:csb0="00040001"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ind w:left="288" w:hanging="288"/>
      </w:pPr>
      <w:rPr>
        <w:color w:val="3370FF"/>
        <w:sz w:val="22"/>
        <w:szCs w:val="22"/>
      </w:rPr>
    </w:lvl>
    <w:lvl w:ilvl="1" w:tentative="0">
      <w:start w:val="1"/>
      <w:numFmt w:val="lowerLetter"/>
      <w:lvlText w:val="%2."/>
      <w:lvlJc w:val="left"/>
      <w:pPr>
        <w:ind w:left="720" w:hanging="288"/>
      </w:pPr>
      <w:rPr>
        <w:color w:val="3370FF"/>
        <w:sz w:val="22"/>
        <w:szCs w:val="22"/>
      </w:rPr>
    </w:lvl>
    <w:lvl w:ilvl="2" w:tentative="0">
      <w:start w:val="1"/>
      <w:numFmt w:val="lowerRoman"/>
      <w:lvlText w:val="%3."/>
      <w:lvlJc w:val="left"/>
      <w:pPr>
        <w:ind w:left="1152" w:hanging="288"/>
      </w:pPr>
      <w:rPr>
        <w:color w:val="3370FF"/>
        <w:sz w:val="22"/>
        <w:szCs w:val="22"/>
      </w:rPr>
    </w:lvl>
  </w:abstractNum>
  <w:abstractNum w:abstractNumId="1">
    <w:nsid w:val="61806FD6"/>
    <w:multiLevelType w:val="singleLevel"/>
    <w:tmpl w:val="61806FD6"/>
    <w:lvl w:ilvl="0" w:tentative="0">
      <w:start w:val="2"/>
      <w:numFmt w:val="decimal"/>
      <w:suff w:val="space"/>
      <w:lvlText w:val="%1."/>
      <w:lvlJc w:val="left"/>
    </w:lvl>
  </w:abstractNum>
  <w:abstractNum w:abstractNumId="2">
    <w:nsid w:val="7C931686"/>
    <w:multiLevelType w:val="singleLevel"/>
    <w:tmpl w:val="7C931686"/>
    <w:lvl w:ilvl="0" w:tentative="0">
      <w:start w:val="1"/>
      <w:numFmt w:val="decimal"/>
      <w:suff w:val="space"/>
      <w:lvlText w:val="%1."/>
      <w:lvlJc w:val="left"/>
    </w:lvl>
  </w:abstractNum>
  <w:num w:numId="1">
    <w:abstractNumId w:val="2"/>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341876"/>
    <w:rsid w:val="01F44129"/>
    <w:rsid w:val="03766107"/>
    <w:rsid w:val="078A6A31"/>
    <w:rsid w:val="08FF6B9F"/>
    <w:rsid w:val="0ACE05D7"/>
    <w:rsid w:val="0DAF2A77"/>
    <w:rsid w:val="0E270705"/>
    <w:rsid w:val="11032FA4"/>
    <w:rsid w:val="13107C9C"/>
    <w:rsid w:val="1C454471"/>
    <w:rsid w:val="23D56C3F"/>
    <w:rsid w:val="25FD431F"/>
    <w:rsid w:val="2DE47F8D"/>
    <w:rsid w:val="2ED83072"/>
    <w:rsid w:val="2FAD7540"/>
    <w:rsid w:val="30F004E8"/>
    <w:rsid w:val="315E078B"/>
    <w:rsid w:val="338D69D1"/>
    <w:rsid w:val="33DC7223"/>
    <w:rsid w:val="33E505BB"/>
    <w:rsid w:val="34692F9B"/>
    <w:rsid w:val="3A6F3935"/>
    <w:rsid w:val="3A8926AC"/>
    <w:rsid w:val="3C042703"/>
    <w:rsid w:val="3C716264"/>
    <w:rsid w:val="3DBF05F3"/>
    <w:rsid w:val="3F6A0766"/>
    <w:rsid w:val="44C47D79"/>
    <w:rsid w:val="45A15015"/>
    <w:rsid w:val="48341876"/>
    <w:rsid w:val="54F379D1"/>
    <w:rsid w:val="54F77CF7"/>
    <w:rsid w:val="5BF64864"/>
    <w:rsid w:val="62BB6808"/>
    <w:rsid w:val="65273CE0"/>
    <w:rsid w:val="6AFA4614"/>
    <w:rsid w:val="6CE34991"/>
    <w:rsid w:val="71535E5D"/>
    <w:rsid w:val="7706705D"/>
    <w:rsid w:val="784B5AE0"/>
    <w:rsid w:val="7E437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楷体_GB2312" w:cs="Times New Roman"/>
      <w:kern w:val="2"/>
      <w:sz w:val="28"/>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szCs w:val="20"/>
    </w:rPr>
  </w:style>
  <w:style w:type="paragraph" w:styleId="3">
    <w:name w:val="heading 2"/>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4"/>
      <w:lang w:val="en-US" w:eastAsia="zh-CN" w:bidi="ar"/>
    </w:rPr>
  </w:style>
  <w:style w:type="paragraph" w:styleId="6">
    <w:name w:val="Body Text"/>
    <w:basedOn w:val="1"/>
    <w:qFormat/>
    <w:uiPriority w:val="0"/>
    <w:pPr>
      <w:tabs>
        <w:tab w:val="left" w:pos="426"/>
        <w:tab w:val="left" w:pos="1418"/>
        <w:tab w:val="left" w:pos="4253"/>
        <w:tab w:val="left" w:pos="5670"/>
        <w:tab w:val="left" w:pos="7088"/>
      </w:tabs>
      <w:adjustRightInd w:val="0"/>
      <w:spacing w:line="360" w:lineRule="auto"/>
      <w:textAlignment w:val="baseline"/>
    </w:pPr>
    <w:rPr>
      <w:rFonts w:ascii="宋体"/>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bCs/>
    </w:rPr>
  </w:style>
  <w:style w:type="paragraph" w:styleId="11">
    <w:name w:val="No Spacing"/>
    <w:qFormat/>
    <w:uiPriority w:val="1"/>
    <w:rPr>
      <w:rFonts w:ascii="Calibri" w:hAnsi="Calibri" w:eastAsia="宋体" w:cs="Times New Roman"/>
      <w:sz w:val="22"/>
      <w:szCs w:val="22"/>
      <w:lang w:val="en-US" w:eastAsia="zh-CN" w:bidi="ar-SA"/>
    </w:rPr>
  </w:style>
  <w:style w:type="paragraph" w:customStyle="1" w:styleId="12">
    <w:name w:val="Table Text"/>
    <w:basedOn w:val="1"/>
    <w:semiHidden/>
    <w:qFormat/>
    <w:uiPriority w:val="0"/>
    <w:rPr>
      <w:rFonts w:ascii="宋体" w:hAnsi="宋体" w:eastAsia="宋体" w:cs="宋体"/>
      <w:sz w:val="22"/>
      <w:szCs w:val="22"/>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样式6"/>
    <w:basedOn w:val="1"/>
    <w:qFormat/>
    <w:uiPriority w:val="0"/>
    <w:pPr>
      <w:widowControl/>
      <w:textAlignment w:val="center"/>
    </w:pPr>
    <w:rPr>
      <w:rFonts w:hint="eastAsia" w:ascii="宋体" w:hAnsi="宋体"/>
      <w:color w:val="000000"/>
      <w:kern w:val="0"/>
      <w:sz w:val="22"/>
    </w:rPr>
  </w:style>
  <w:style w:type="paragraph" w:customStyle="1" w:styleId="15">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3827</Words>
  <Characters>4286</Characters>
  <Lines>0</Lines>
  <Paragraphs>0</Paragraphs>
  <TotalTime>17</TotalTime>
  <ScaleCrop>false</ScaleCrop>
  <LinksUpToDate>false</LinksUpToDate>
  <CharactersWithSpaces>4390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2026-01-28T01:54:00Z</dcterms:created>
  <dc:creator>瑞</dc:creator>
  <cp:lastModifiedBy>回眸</cp:lastModifiedBy>
  <dcterms:modified xsi:type="dcterms:W3CDTF">2026-05-18T06:18:47Z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16A7C8A17CD9482099CC226978BE1AF4_13</vt:lpwstr>
  </property>
  <property fmtid="{D5CDD505-2E9C-101B-9397-08002B2CF9AE}" pid="4" name="KSOTemplateDocerSaveRecord">
    <vt:lpwstr>eyJoZGlkIjoiZDAxOThlNDhlYzhiOTQ0ZGI4ZGFlYWNjODIzMzlhMDkiLCJ1c2VySWQiOiI0OTk1NjY4MTkifQ==</vt:lpwstr>
  </property>
</Properties>
</file>