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line="360" w:lineRule="auto"/>
        <w:jc w:val="center"/>
        <w:rPr>
          <w:rFonts w:hint="eastAsia" w:ascii="黑体" w:hAnsi="宋体" w:eastAsia="黑体" w:cs="Arial"/>
          <w:bCs/>
          <w:color w:val="000000"/>
          <w:sz w:val="52"/>
          <w:szCs w:val="52"/>
        </w:rPr>
      </w:pPr>
      <w:r>
        <w:rPr>
          <w:rFonts w:hint="eastAsia" w:ascii="黑体" w:hAnsi="宋体" w:eastAsia="黑体" w:cs="Arial"/>
          <w:bCs/>
          <w:color w:val="000000"/>
          <w:sz w:val="52"/>
          <w:szCs w:val="52"/>
        </w:rPr>
        <w:t>宁夏中宁发电有限责任公司</w:t>
      </w:r>
    </w:p>
    <w:p>
      <w:pPr>
        <w:pStyle w:val="9"/>
        <w:spacing w:line="360" w:lineRule="auto"/>
        <w:jc w:val="center"/>
        <w:rPr>
          <w:rFonts w:hint="default" w:ascii="黑体" w:hAnsi="宋体" w:eastAsia="黑体" w:cs="Arial"/>
          <w:bCs/>
          <w:color w:val="000000"/>
          <w:sz w:val="48"/>
          <w:szCs w:val="48"/>
          <w:highlight w:val="none"/>
          <w:lang w:val="en-US" w:eastAsia="zh-CN"/>
        </w:rPr>
      </w:pPr>
      <w:r>
        <w:rPr>
          <w:rFonts w:hint="eastAsia" w:ascii="黑体" w:hAnsi="宋体" w:eastAsia="黑体" w:cs="Arial"/>
          <w:bCs/>
          <w:color w:val="000000"/>
          <w:sz w:val="48"/>
          <w:szCs w:val="48"/>
          <w:highlight w:val="none"/>
          <w:lang w:val="en-US" w:eastAsia="zh-CN"/>
        </w:rPr>
        <w:t>电力监控二次安防系统</w:t>
      </w:r>
    </w:p>
    <w:p>
      <w:pPr>
        <w:pStyle w:val="9"/>
        <w:spacing w:line="360" w:lineRule="auto"/>
        <w:jc w:val="center"/>
        <w:rPr>
          <w:rFonts w:ascii="黑体" w:hAnsi="宋体" w:eastAsia="黑体" w:cs="Arial"/>
          <w:bCs/>
          <w:color w:val="000000"/>
          <w:sz w:val="48"/>
          <w:szCs w:val="48"/>
        </w:rPr>
      </w:pPr>
    </w:p>
    <w:p>
      <w:pPr>
        <w:pStyle w:val="9"/>
        <w:spacing w:line="360" w:lineRule="auto"/>
        <w:jc w:val="center"/>
        <w:rPr>
          <w:rFonts w:ascii="黑体" w:hAnsi="宋体" w:eastAsia="黑体" w:cs="Arial"/>
          <w:bCs/>
          <w:color w:val="000000"/>
          <w:sz w:val="48"/>
          <w:szCs w:val="48"/>
        </w:rPr>
      </w:pPr>
    </w:p>
    <w:p>
      <w:pPr>
        <w:pStyle w:val="9"/>
        <w:spacing w:line="360" w:lineRule="auto"/>
        <w:jc w:val="center"/>
        <w:rPr>
          <w:rFonts w:hAnsi="宋体"/>
          <w:b/>
          <w:sz w:val="72"/>
        </w:rPr>
      </w:pPr>
      <w:r>
        <w:rPr>
          <w:rFonts w:hint="eastAsia" w:hAnsi="宋体"/>
          <w:b/>
          <w:sz w:val="72"/>
        </w:rPr>
        <w:t>技术协议</w:t>
      </w:r>
    </w:p>
    <w:p>
      <w:pPr>
        <w:pStyle w:val="9"/>
        <w:spacing w:line="360" w:lineRule="auto"/>
        <w:jc w:val="center"/>
        <w:rPr>
          <w:rFonts w:hAnsi="宋体"/>
          <w:b/>
          <w:sz w:val="36"/>
        </w:rPr>
      </w:pPr>
    </w:p>
    <w:p>
      <w:pPr>
        <w:pStyle w:val="9"/>
        <w:spacing w:line="360" w:lineRule="auto"/>
        <w:jc w:val="center"/>
        <w:rPr>
          <w:rFonts w:hAnsi="宋体"/>
          <w:sz w:val="44"/>
        </w:rPr>
      </w:pPr>
    </w:p>
    <w:p>
      <w:pPr>
        <w:pStyle w:val="9"/>
        <w:spacing w:line="360" w:lineRule="auto"/>
        <w:rPr>
          <w:rFonts w:hAnsi="宋体"/>
          <w:b/>
          <w:bCs/>
          <w:color w:val="000000"/>
          <w:sz w:val="48"/>
          <w:szCs w:val="48"/>
        </w:rPr>
      </w:pPr>
    </w:p>
    <w:p>
      <w:pPr>
        <w:pStyle w:val="9"/>
        <w:spacing w:line="360" w:lineRule="auto"/>
        <w:jc w:val="center"/>
        <w:rPr>
          <w:rFonts w:hAnsi="宋体"/>
          <w:b/>
          <w:bCs/>
          <w:color w:val="000000"/>
          <w:sz w:val="48"/>
          <w:szCs w:val="48"/>
        </w:rPr>
      </w:pPr>
    </w:p>
    <w:p>
      <w:pPr>
        <w:pStyle w:val="9"/>
        <w:spacing w:line="360" w:lineRule="auto"/>
        <w:ind w:firstLine="875" w:firstLineChars="198"/>
        <w:rPr>
          <w:rFonts w:hAnsi="宋体"/>
          <w:b/>
          <w:bCs/>
          <w:sz w:val="44"/>
          <w:szCs w:val="44"/>
        </w:rPr>
      </w:pPr>
    </w:p>
    <w:p>
      <w:pPr>
        <w:pStyle w:val="9"/>
        <w:spacing w:line="360" w:lineRule="auto"/>
        <w:ind w:firstLine="875" w:firstLineChars="198"/>
        <w:rPr>
          <w:rFonts w:hAnsi="宋体"/>
          <w:b/>
          <w:bCs/>
          <w:sz w:val="44"/>
          <w:szCs w:val="44"/>
        </w:rPr>
      </w:pPr>
    </w:p>
    <w:p>
      <w:pPr>
        <w:pStyle w:val="9"/>
        <w:spacing w:line="360" w:lineRule="auto"/>
        <w:ind w:firstLine="875" w:firstLineChars="198"/>
        <w:rPr>
          <w:rFonts w:hAnsi="宋体"/>
          <w:b/>
          <w:bCs/>
          <w:sz w:val="44"/>
          <w:szCs w:val="44"/>
        </w:rPr>
      </w:pPr>
    </w:p>
    <w:p>
      <w:pPr>
        <w:pStyle w:val="9"/>
        <w:spacing w:line="360" w:lineRule="auto"/>
        <w:ind w:firstLine="875" w:firstLineChars="198"/>
        <w:rPr>
          <w:rFonts w:hint="eastAsia" w:hAnsi="宋体"/>
          <w:b/>
          <w:bCs/>
          <w:sz w:val="44"/>
          <w:szCs w:val="44"/>
        </w:rPr>
      </w:pPr>
    </w:p>
    <w:p>
      <w:pPr>
        <w:pStyle w:val="9"/>
        <w:spacing w:line="360" w:lineRule="auto"/>
        <w:jc w:val="left"/>
        <w:rPr>
          <w:rFonts w:hint="eastAsia" w:hAnsi="宋体"/>
          <w:b/>
          <w:sz w:val="32"/>
          <w:szCs w:val="32"/>
        </w:rPr>
      </w:pPr>
    </w:p>
    <w:p>
      <w:pPr>
        <w:spacing w:line="360" w:lineRule="auto"/>
        <w:ind w:firstLine="2906" w:firstLineChars="804"/>
        <w:rPr>
          <w:rFonts w:ascii="宋体" w:hAnsi="宋体"/>
          <w:b/>
          <w:sz w:val="36"/>
        </w:rPr>
      </w:pPr>
      <w:r>
        <w:rPr>
          <w:rFonts w:hint="eastAsia" w:ascii="宋体" w:hAnsi="宋体"/>
          <w:b/>
          <w:bCs/>
          <w:sz w:val="36"/>
        </w:rPr>
        <w:t>202</w:t>
      </w:r>
      <w:r>
        <w:rPr>
          <w:rFonts w:hint="eastAsia" w:ascii="宋体" w:hAnsi="宋体"/>
          <w:b/>
          <w:bCs/>
          <w:sz w:val="36"/>
          <w:lang w:val="en-US" w:eastAsia="zh-CN"/>
        </w:rPr>
        <w:t>6</w:t>
      </w:r>
      <w:r>
        <w:rPr>
          <w:rFonts w:hint="eastAsia" w:ascii="宋体" w:hAnsi="宋体"/>
          <w:b/>
          <w:bCs/>
          <w:sz w:val="36"/>
        </w:rPr>
        <w:t>年</w:t>
      </w:r>
      <w:r>
        <w:rPr>
          <w:rFonts w:hint="eastAsia" w:ascii="宋体" w:hAnsi="宋体"/>
          <w:b/>
          <w:bCs/>
          <w:sz w:val="36"/>
          <w:lang w:val="en-US" w:eastAsia="zh-CN"/>
        </w:rPr>
        <w:t>5</w:t>
      </w:r>
      <w:r>
        <w:rPr>
          <w:rFonts w:hint="eastAsia" w:ascii="宋体" w:hAnsi="宋体"/>
          <w:b/>
          <w:bCs/>
          <w:sz w:val="36"/>
        </w:rPr>
        <w:t>月</w:t>
      </w:r>
      <w:bookmarkStart w:id="0" w:name="_Toc265891430"/>
      <w:bookmarkStart w:id="1" w:name="_Toc245454389"/>
      <w:bookmarkStart w:id="2" w:name="_Toc265890011"/>
      <w:bookmarkStart w:id="3" w:name="_Toc265890369"/>
      <w:bookmarkStart w:id="4" w:name="_Toc265890896"/>
      <w:bookmarkStart w:id="5" w:name="_Toc278290293"/>
    </w:p>
    <w:p>
      <w:pPr>
        <w:pStyle w:val="10"/>
        <w:spacing w:line="360" w:lineRule="auto"/>
        <w:rPr>
          <w:rFonts w:hint="eastAsia"/>
        </w:rPr>
        <w:sectPr>
          <w:headerReference r:id="rId5" w:type="first"/>
          <w:footerReference r:id="rId8" w:type="first"/>
          <w:headerReference r:id="rId3" w:type="default"/>
          <w:footerReference r:id="rId6" w:type="default"/>
          <w:headerReference r:id="rId4" w:type="even"/>
          <w:footerReference r:id="rId7" w:type="even"/>
          <w:pgSz w:w="11907" w:h="16840"/>
          <w:pgMar w:top="1440" w:right="1797" w:bottom="1440" w:left="1797" w:header="851" w:footer="992" w:gutter="0"/>
          <w:pgNumType w:start="0"/>
          <w:cols w:space="720" w:num="1"/>
          <w:titlePg/>
          <w:docGrid w:type="lines" w:linePitch="326" w:charSpace="0"/>
        </w:sectPr>
      </w:pPr>
    </w:p>
    <w:p>
      <w:pPr>
        <w:pStyle w:val="10"/>
        <w:spacing w:line="360" w:lineRule="auto"/>
      </w:pPr>
      <w:r>
        <w:rPr>
          <w:rFonts w:hint="eastAsia"/>
        </w:rPr>
        <w:t xml:space="preserve">                           </w:t>
      </w:r>
      <w:bookmarkStart w:id="6" w:name="_Toc2025"/>
      <w:r>
        <w:rPr>
          <w:color w:val="auto"/>
          <w:sz w:val="30"/>
          <w:szCs w:val="30"/>
          <w:lang w:val="zh-CN"/>
        </w:rPr>
        <w:t>目</w:t>
      </w:r>
      <w:r>
        <w:rPr>
          <w:rFonts w:hint="eastAsia"/>
          <w:color w:val="auto"/>
          <w:sz w:val="30"/>
          <w:szCs w:val="30"/>
        </w:rPr>
        <w:t xml:space="preserve">  </w:t>
      </w:r>
      <w:r>
        <w:rPr>
          <w:color w:val="auto"/>
          <w:sz w:val="30"/>
          <w:szCs w:val="30"/>
          <w:lang w:val="zh-CN"/>
        </w:rPr>
        <w:t>录</w:t>
      </w:r>
      <w:bookmarkEnd w:id="6"/>
    </w:p>
    <w:p>
      <w:pPr>
        <w:pStyle w:val="6"/>
        <w:tabs>
          <w:tab w:val="right" w:leader="dot" w:pos="8313"/>
        </w:tabs>
        <w:spacing w:line="360" w:lineRule="auto"/>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fldChar w:fldCharType="begin"/>
      </w:r>
      <w:r>
        <w:rPr>
          <w:rFonts w:hint="eastAsia" w:ascii="宋体" w:hAnsi="宋体" w:eastAsia="宋体" w:cs="宋体"/>
          <w:kern w:val="2"/>
          <w:sz w:val="21"/>
          <w:szCs w:val="22"/>
          <w:lang w:val="en-US" w:eastAsia="zh-CN" w:bidi="ar-SA"/>
        </w:rPr>
        <w:instrText xml:space="preserve"> TOC \o "1-3" \h \z \u </w:instrText>
      </w:r>
      <w:r>
        <w:rPr>
          <w:rFonts w:hint="eastAsia" w:ascii="宋体" w:hAnsi="宋体" w:eastAsia="宋体" w:cs="宋体"/>
          <w:kern w:val="2"/>
          <w:sz w:val="21"/>
          <w:szCs w:val="22"/>
          <w:lang w:val="en-US" w:eastAsia="zh-CN" w:bidi="ar-SA"/>
        </w:rPr>
        <w:fldChar w:fldCharType="separate"/>
      </w:r>
      <w:r>
        <w:rPr>
          <w:rFonts w:hint="eastAsia" w:ascii="宋体" w:hAnsi="宋体" w:eastAsia="宋体" w:cs="宋体"/>
          <w:kern w:val="2"/>
          <w:sz w:val="21"/>
          <w:szCs w:val="22"/>
          <w:lang w:val="zh-CN" w:eastAsia="zh-CN" w:bidi="ar-SA"/>
        </w:rPr>
        <w:fldChar w:fldCharType="begin"/>
      </w:r>
      <w:r>
        <w:rPr>
          <w:rFonts w:hint="eastAsia" w:ascii="宋体" w:hAnsi="宋体" w:eastAsia="宋体" w:cs="宋体"/>
          <w:kern w:val="2"/>
          <w:sz w:val="21"/>
          <w:szCs w:val="22"/>
          <w:lang w:val="zh-CN" w:eastAsia="zh-CN" w:bidi="ar-SA"/>
        </w:rPr>
        <w:instrText xml:space="preserve"> HYPERLINK \l _Toc17980 </w:instrText>
      </w:r>
      <w:r>
        <w:rPr>
          <w:rFonts w:hint="eastAsia" w:ascii="宋体" w:hAnsi="宋体" w:eastAsia="宋体" w:cs="宋体"/>
          <w:kern w:val="2"/>
          <w:sz w:val="21"/>
          <w:szCs w:val="22"/>
          <w:lang w:val="zh-CN" w:eastAsia="zh-CN" w:bidi="ar-SA"/>
        </w:rPr>
        <w:fldChar w:fldCharType="separate"/>
      </w:r>
      <w:r>
        <w:rPr>
          <w:rFonts w:hint="eastAsia" w:ascii="宋体" w:hAnsi="宋体" w:eastAsia="宋体" w:cs="宋体"/>
          <w:kern w:val="2"/>
          <w:sz w:val="21"/>
          <w:szCs w:val="22"/>
          <w:lang w:val="en-US" w:eastAsia="zh-CN" w:bidi="ar-SA"/>
        </w:rPr>
        <w:t>一、总体要求</w:t>
      </w:r>
      <w:r>
        <w:rPr>
          <w:rFonts w:hint="eastAsia" w:ascii="宋体" w:hAnsi="宋体" w:eastAsia="宋体" w:cs="宋体"/>
          <w:kern w:val="2"/>
          <w:sz w:val="21"/>
          <w:szCs w:val="22"/>
          <w:lang w:val="en-US" w:eastAsia="zh-CN" w:bidi="ar-SA"/>
        </w:rPr>
        <w:tab/>
      </w:r>
      <w:r>
        <w:rPr>
          <w:rFonts w:hint="eastAsia" w:ascii="宋体" w:hAnsi="宋体" w:eastAsia="宋体" w:cs="宋体"/>
          <w:kern w:val="2"/>
          <w:sz w:val="21"/>
          <w:szCs w:val="22"/>
          <w:lang w:val="en-US" w:eastAsia="zh-CN" w:bidi="ar-SA"/>
        </w:rPr>
        <w:fldChar w:fldCharType="begin"/>
      </w:r>
      <w:r>
        <w:rPr>
          <w:rFonts w:hint="eastAsia" w:ascii="宋体" w:hAnsi="宋体" w:eastAsia="宋体" w:cs="宋体"/>
          <w:kern w:val="2"/>
          <w:sz w:val="21"/>
          <w:szCs w:val="22"/>
          <w:lang w:val="en-US" w:eastAsia="zh-CN" w:bidi="ar-SA"/>
        </w:rPr>
        <w:instrText xml:space="preserve"> PAGEREF _Toc17980 </w:instrText>
      </w:r>
      <w:r>
        <w:rPr>
          <w:rFonts w:hint="eastAsia" w:ascii="宋体" w:hAnsi="宋体" w:eastAsia="宋体" w:cs="宋体"/>
          <w:kern w:val="2"/>
          <w:sz w:val="21"/>
          <w:szCs w:val="22"/>
          <w:lang w:val="en-US" w:eastAsia="zh-CN" w:bidi="ar-SA"/>
        </w:rPr>
        <w:fldChar w:fldCharType="separate"/>
      </w:r>
      <w:r>
        <w:rPr>
          <w:rFonts w:hint="eastAsia" w:ascii="宋体" w:hAnsi="宋体" w:eastAsia="宋体" w:cs="宋体"/>
          <w:kern w:val="2"/>
          <w:sz w:val="21"/>
          <w:szCs w:val="22"/>
          <w:lang w:val="en-US" w:eastAsia="zh-CN" w:bidi="ar-SA"/>
        </w:rPr>
        <w:t>2</w:t>
      </w:r>
      <w:r>
        <w:rPr>
          <w:rFonts w:hint="eastAsia" w:ascii="宋体" w:hAnsi="宋体" w:eastAsia="宋体" w:cs="宋体"/>
          <w:kern w:val="2"/>
          <w:sz w:val="21"/>
          <w:szCs w:val="22"/>
          <w:lang w:val="en-US" w:eastAsia="zh-CN" w:bidi="ar-SA"/>
        </w:rPr>
        <w:fldChar w:fldCharType="end"/>
      </w:r>
      <w:r>
        <w:rPr>
          <w:rFonts w:hint="eastAsia" w:ascii="宋体" w:hAnsi="宋体" w:eastAsia="宋体" w:cs="宋体"/>
          <w:kern w:val="2"/>
          <w:sz w:val="21"/>
          <w:szCs w:val="22"/>
          <w:lang w:val="zh-CN" w:eastAsia="zh-CN" w:bidi="ar-SA"/>
        </w:rPr>
        <w:fldChar w:fldCharType="end"/>
      </w:r>
    </w:p>
    <w:p>
      <w:pPr>
        <w:pStyle w:val="6"/>
        <w:tabs>
          <w:tab w:val="right" w:leader="dot" w:pos="8313"/>
        </w:tabs>
        <w:spacing w:line="360" w:lineRule="auto"/>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zh-CN" w:eastAsia="zh-CN" w:bidi="ar-SA"/>
        </w:rPr>
        <w:fldChar w:fldCharType="begin"/>
      </w:r>
      <w:r>
        <w:rPr>
          <w:rFonts w:hint="eastAsia" w:ascii="宋体" w:hAnsi="宋体" w:eastAsia="宋体" w:cs="宋体"/>
          <w:kern w:val="2"/>
          <w:sz w:val="21"/>
          <w:szCs w:val="22"/>
          <w:lang w:val="zh-CN" w:eastAsia="zh-CN" w:bidi="ar-SA"/>
        </w:rPr>
        <w:instrText xml:space="preserve"> HYPERLINK \l _Toc31343 </w:instrText>
      </w:r>
      <w:r>
        <w:rPr>
          <w:rFonts w:hint="eastAsia" w:ascii="宋体" w:hAnsi="宋体" w:eastAsia="宋体" w:cs="宋体"/>
          <w:kern w:val="2"/>
          <w:sz w:val="21"/>
          <w:szCs w:val="22"/>
          <w:lang w:val="zh-CN" w:eastAsia="zh-CN" w:bidi="ar-SA"/>
        </w:rPr>
        <w:fldChar w:fldCharType="separate"/>
      </w:r>
      <w:r>
        <w:rPr>
          <w:rFonts w:hint="eastAsia" w:ascii="宋体" w:hAnsi="宋体" w:eastAsia="宋体" w:cs="宋体"/>
          <w:kern w:val="2"/>
          <w:sz w:val="21"/>
          <w:szCs w:val="22"/>
          <w:lang w:val="en-US" w:eastAsia="zh-CN" w:bidi="ar-SA"/>
        </w:rPr>
        <w:t>二、项目概况</w:t>
      </w:r>
      <w:bookmarkStart w:id="7" w:name="_Hlt161609317"/>
      <w:r>
        <w:rPr>
          <w:rFonts w:hint="eastAsia" w:ascii="宋体" w:hAnsi="宋体" w:eastAsia="宋体" w:cs="宋体"/>
          <w:kern w:val="2"/>
          <w:sz w:val="21"/>
          <w:szCs w:val="22"/>
          <w:lang w:val="en-US" w:eastAsia="zh-CN" w:bidi="ar-SA"/>
        </w:rPr>
        <w:tab/>
      </w:r>
      <w:bookmarkEnd w:id="7"/>
      <w:r>
        <w:rPr>
          <w:rFonts w:hint="eastAsia" w:ascii="宋体" w:hAnsi="宋体" w:eastAsia="宋体" w:cs="宋体"/>
          <w:kern w:val="2"/>
          <w:sz w:val="21"/>
          <w:szCs w:val="22"/>
          <w:lang w:val="en-US" w:eastAsia="zh-CN" w:bidi="ar-SA"/>
        </w:rPr>
        <w:fldChar w:fldCharType="begin"/>
      </w:r>
      <w:r>
        <w:rPr>
          <w:rFonts w:hint="eastAsia" w:ascii="宋体" w:hAnsi="宋体" w:eastAsia="宋体" w:cs="宋体"/>
          <w:kern w:val="2"/>
          <w:sz w:val="21"/>
          <w:szCs w:val="22"/>
          <w:lang w:val="en-US" w:eastAsia="zh-CN" w:bidi="ar-SA"/>
        </w:rPr>
        <w:instrText xml:space="preserve"> PAGEREF _Toc31343 </w:instrText>
      </w:r>
      <w:r>
        <w:rPr>
          <w:rFonts w:hint="eastAsia" w:ascii="宋体" w:hAnsi="宋体" w:eastAsia="宋体" w:cs="宋体"/>
          <w:kern w:val="2"/>
          <w:sz w:val="21"/>
          <w:szCs w:val="22"/>
          <w:lang w:val="en-US" w:eastAsia="zh-CN" w:bidi="ar-SA"/>
        </w:rPr>
        <w:fldChar w:fldCharType="separate"/>
      </w:r>
      <w:r>
        <w:rPr>
          <w:rFonts w:hint="eastAsia" w:ascii="宋体" w:hAnsi="宋体" w:eastAsia="宋体" w:cs="宋体"/>
          <w:kern w:val="2"/>
          <w:sz w:val="21"/>
          <w:szCs w:val="22"/>
          <w:lang w:val="en-US" w:eastAsia="zh-CN" w:bidi="ar-SA"/>
        </w:rPr>
        <w:t>2</w:t>
      </w:r>
      <w:r>
        <w:rPr>
          <w:rFonts w:hint="eastAsia" w:ascii="宋体" w:hAnsi="宋体" w:eastAsia="宋体" w:cs="宋体"/>
          <w:kern w:val="2"/>
          <w:sz w:val="21"/>
          <w:szCs w:val="22"/>
          <w:lang w:val="en-US" w:eastAsia="zh-CN" w:bidi="ar-SA"/>
        </w:rPr>
        <w:fldChar w:fldCharType="end"/>
      </w:r>
      <w:r>
        <w:rPr>
          <w:rFonts w:hint="eastAsia" w:ascii="宋体" w:hAnsi="宋体" w:eastAsia="宋体" w:cs="宋体"/>
          <w:kern w:val="2"/>
          <w:sz w:val="21"/>
          <w:szCs w:val="22"/>
          <w:lang w:val="zh-CN" w:eastAsia="zh-CN" w:bidi="ar-SA"/>
        </w:rPr>
        <w:fldChar w:fldCharType="end"/>
      </w:r>
    </w:p>
    <w:p>
      <w:pPr>
        <w:pStyle w:val="6"/>
        <w:tabs>
          <w:tab w:val="right" w:leader="dot" w:pos="8313"/>
        </w:tabs>
        <w:spacing w:line="360" w:lineRule="auto"/>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zh-CN" w:eastAsia="zh-CN" w:bidi="ar-SA"/>
        </w:rPr>
        <w:fldChar w:fldCharType="begin"/>
      </w:r>
      <w:r>
        <w:rPr>
          <w:rFonts w:hint="eastAsia" w:ascii="宋体" w:hAnsi="宋体" w:eastAsia="宋体" w:cs="宋体"/>
          <w:kern w:val="2"/>
          <w:sz w:val="21"/>
          <w:szCs w:val="22"/>
          <w:lang w:val="zh-CN" w:eastAsia="zh-CN" w:bidi="ar-SA"/>
        </w:rPr>
        <w:instrText xml:space="preserve"> HYPERLINK \l _Toc23169 </w:instrText>
      </w:r>
      <w:r>
        <w:rPr>
          <w:rFonts w:hint="eastAsia" w:ascii="宋体" w:hAnsi="宋体" w:eastAsia="宋体" w:cs="宋体"/>
          <w:kern w:val="2"/>
          <w:sz w:val="21"/>
          <w:szCs w:val="22"/>
          <w:lang w:val="zh-CN" w:eastAsia="zh-CN" w:bidi="ar-SA"/>
        </w:rPr>
        <w:fldChar w:fldCharType="separate"/>
      </w:r>
      <w:r>
        <w:rPr>
          <w:rFonts w:hint="eastAsia" w:ascii="宋体" w:hAnsi="宋体" w:eastAsia="宋体" w:cs="宋体"/>
          <w:kern w:val="2"/>
          <w:sz w:val="21"/>
          <w:szCs w:val="22"/>
          <w:lang w:val="en-US" w:eastAsia="zh-CN" w:bidi="ar-SA"/>
        </w:rPr>
        <w:t>三、实现目的</w:t>
      </w:r>
      <w:r>
        <w:rPr>
          <w:rFonts w:hint="eastAsia" w:ascii="宋体" w:hAnsi="宋体" w:eastAsia="宋体" w:cs="宋体"/>
          <w:kern w:val="2"/>
          <w:sz w:val="21"/>
          <w:szCs w:val="22"/>
          <w:lang w:val="en-US" w:eastAsia="zh-CN" w:bidi="ar-SA"/>
        </w:rPr>
        <w:tab/>
      </w:r>
      <w:r>
        <w:rPr>
          <w:rFonts w:hint="eastAsia" w:ascii="宋体" w:hAnsi="宋体" w:eastAsia="宋体" w:cs="宋体"/>
          <w:kern w:val="2"/>
          <w:sz w:val="21"/>
          <w:szCs w:val="22"/>
          <w:lang w:val="en-US" w:eastAsia="zh-CN" w:bidi="ar-SA"/>
        </w:rPr>
        <w:fldChar w:fldCharType="begin"/>
      </w:r>
      <w:r>
        <w:rPr>
          <w:rFonts w:hint="eastAsia" w:ascii="宋体" w:hAnsi="宋体" w:eastAsia="宋体" w:cs="宋体"/>
          <w:kern w:val="2"/>
          <w:sz w:val="21"/>
          <w:szCs w:val="22"/>
          <w:lang w:val="en-US" w:eastAsia="zh-CN" w:bidi="ar-SA"/>
        </w:rPr>
        <w:instrText xml:space="preserve"> PAGEREF _Toc23169 </w:instrText>
      </w:r>
      <w:r>
        <w:rPr>
          <w:rFonts w:hint="eastAsia" w:ascii="宋体" w:hAnsi="宋体" w:eastAsia="宋体" w:cs="宋体"/>
          <w:kern w:val="2"/>
          <w:sz w:val="21"/>
          <w:szCs w:val="22"/>
          <w:lang w:val="en-US" w:eastAsia="zh-CN" w:bidi="ar-SA"/>
        </w:rPr>
        <w:fldChar w:fldCharType="separate"/>
      </w:r>
      <w:r>
        <w:rPr>
          <w:rFonts w:hint="eastAsia" w:ascii="宋体" w:hAnsi="宋体" w:eastAsia="宋体" w:cs="宋体"/>
          <w:kern w:val="2"/>
          <w:sz w:val="21"/>
          <w:szCs w:val="22"/>
          <w:lang w:val="en-US" w:eastAsia="zh-CN" w:bidi="ar-SA"/>
        </w:rPr>
        <w:t>3</w:t>
      </w:r>
      <w:r>
        <w:rPr>
          <w:rFonts w:hint="eastAsia" w:ascii="宋体" w:hAnsi="宋体" w:eastAsia="宋体" w:cs="宋体"/>
          <w:kern w:val="2"/>
          <w:sz w:val="21"/>
          <w:szCs w:val="22"/>
          <w:lang w:val="en-US" w:eastAsia="zh-CN" w:bidi="ar-SA"/>
        </w:rPr>
        <w:fldChar w:fldCharType="end"/>
      </w:r>
      <w:r>
        <w:rPr>
          <w:rFonts w:hint="eastAsia" w:ascii="宋体" w:hAnsi="宋体" w:eastAsia="宋体" w:cs="宋体"/>
          <w:kern w:val="2"/>
          <w:sz w:val="21"/>
          <w:szCs w:val="22"/>
          <w:lang w:val="zh-CN" w:eastAsia="zh-CN" w:bidi="ar-SA"/>
        </w:rPr>
        <w:fldChar w:fldCharType="end"/>
      </w:r>
    </w:p>
    <w:p>
      <w:pPr>
        <w:pStyle w:val="6"/>
        <w:tabs>
          <w:tab w:val="right" w:leader="dot" w:pos="8313"/>
        </w:tabs>
        <w:spacing w:line="360" w:lineRule="auto"/>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zh-CN" w:eastAsia="zh-CN" w:bidi="ar-SA"/>
        </w:rPr>
        <w:fldChar w:fldCharType="begin"/>
      </w:r>
      <w:r>
        <w:rPr>
          <w:rFonts w:hint="eastAsia" w:ascii="宋体" w:hAnsi="宋体" w:eastAsia="宋体" w:cs="宋体"/>
          <w:kern w:val="2"/>
          <w:sz w:val="21"/>
          <w:szCs w:val="22"/>
          <w:lang w:val="zh-CN" w:eastAsia="zh-CN" w:bidi="ar-SA"/>
        </w:rPr>
        <w:instrText xml:space="preserve"> HYPERLINK \l _Toc9662 </w:instrText>
      </w:r>
      <w:r>
        <w:rPr>
          <w:rFonts w:hint="eastAsia" w:ascii="宋体" w:hAnsi="宋体" w:eastAsia="宋体" w:cs="宋体"/>
          <w:kern w:val="2"/>
          <w:sz w:val="21"/>
          <w:szCs w:val="22"/>
          <w:lang w:val="zh-CN" w:eastAsia="zh-CN" w:bidi="ar-SA"/>
        </w:rPr>
        <w:fldChar w:fldCharType="separate"/>
      </w:r>
      <w:r>
        <w:rPr>
          <w:rFonts w:hint="eastAsia" w:ascii="宋体" w:hAnsi="宋体" w:eastAsia="宋体" w:cs="宋体"/>
          <w:kern w:val="2"/>
          <w:sz w:val="21"/>
          <w:szCs w:val="22"/>
          <w:lang w:val="en-US" w:eastAsia="zh-CN" w:bidi="ar-SA"/>
        </w:rPr>
        <w:t>四、设备试验、校验依据的相关标准</w:t>
      </w:r>
      <w:r>
        <w:rPr>
          <w:rFonts w:hint="eastAsia" w:ascii="宋体" w:hAnsi="宋体" w:eastAsia="宋体" w:cs="宋体"/>
          <w:kern w:val="2"/>
          <w:sz w:val="21"/>
          <w:szCs w:val="22"/>
          <w:lang w:val="en-US" w:eastAsia="zh-CN" w:bidi="ar-SA"/>
        </w:rPr>
        <w:tab/>
      </w:r>
      <w:r>
        <w:rPr>
          <w:rFonts w:hint="eastAsia" w:ascii="宋体" w:hAnsi="宋体" w:eastAsia="宋体" w:cs="宋体"/>
          <w:kern w:val="2"/>
          <w:sz w:val="21"/>
          <w:szCs w:val="22"/>
          <w:lang w:val="en-US" w:eastAsia="zh-CN" w:bidi="ar-SA"/>
        </w:rPr>
        <w:fldChar w:fldCharType="begin"/>
      </w:r>
      <w:r>
        <w:rPr>
          <w:rFonts w:hint="eastAsia" w:ascii="宋体" w:hAnsi="宋体" w:eastAsia="宋体" w:cs="宋体"/>
          <w:kern w:val="2"/>
          <w:sz w:val="21"/>
          <w:szCs w:val="22"/>
          <w:lang w:val="en-US" w:eastAsia="zh-CN" w:bidi="ar-SA"/>
        </w:rPr>
        <w:instrText xml:space="preserve"> PAGEREF _Toc9662 </w:instrText>
      </w:r>
      <w:r>
        <w:rPr>
          <w:rFonts w:hint="eastAsia" w:ascii="宋体" w:hAnsi="宋体" w:eastAsia="宋体" w:cs="宋体"/>
          <w:kern w:val="2"/>
          <w:sz w:val="21"/>
          <w:szCs w:val="22"/>
          <w:lang w:val="en-US" w:eastAsia="zh-CN" w:bidi="ar-SA"/>
        </w:rPr>
        <w:fldChar w:fldCharType="separate"/>
      </w:r>
      <w:r>
        <w:rPr>
          <w:rFonts w:hint="eastAsia" w:ascii="宋体" w:hAnsi="宋体" w:eastAsia="宋体" w:cs="宋体"/>
          <w:kern w:val="2"/>
          <w:sz w:val="21"/>
          <w:szCs w:val="22"/>
          <w:lang w:val="en-US" w:eastAsia="zh-CN" w:bidi="ar-SA"/>
        </w:rPr>
        <w:t>3</w:t>
      </w:r>
      <w:r>
        <w:rPr>
          <w:rFonts w:hint="eastAsia" w:ascii="宋体" w:hAnsi="宋体" w:eastAsia="宋体" w:cs="宋体"/>
          <w:kern w:val="2"/>
          <w:sz w:val="21"/>
          <w:szCs w:val="22"/>
          <w:lang w:val="en-US" w:eastAsia="zh-CN" w:bidi="ar-SA"/>
        </w:rPr>
        <w:fldChar w:fldCharType="end"/>
      </w:r>
      <w:r>
        <w:rPr>
          <w:rFonts w:hint="eastAsia" w:ascii="宋体" w:hAnsi="宋体" w:eastAsia="宋体" w:cs="宋体"/>
          <w:kern w:val="2"/>
          <w:sz w:val="21"/>
          <w:szCs w:val="22"/>
          <w:lang w:val="zh-CN" w:eastAsia="zh-CN" w:bidi="ar-SA"/>
        </w:rPr>
        <w:fldChar w:fldCharType="end"/>
      </w:r>
    </w:p>
    <w:p>
      <w:pPr>
        <w:pStyle w:val="6"/>
        <w:tabs>
          <w:tab w:val="right" w:leader="dot" w:pos="8313"/>
        </w:tabs>
        <w:spacing w:line="360" w:lineRule="auto"/>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zh-CN" w:eastAsia="zh-CN" w:bidi="ar-SA"/>
        </w:rPr>
        <w:fldChar w:fldCharType="begin"/>
      </w:r>
      <w:r>
        <w:rPr>
          <w:rFonts w:hint="eastAsia" w:ascii="宋体" w:hAnsi="宋体" w:eastAsia="宋体" w:cs="宋体"/>
          <w:kern w:val="2"/>
          <w:sz w:val="21"/>
          <w:szCs w:val="22"/>
          <w:lang w:val="zh-CN" w:eastAsia="zh-CN" w:bidi="ar-SA"/>
        </w:rPr>
        <w:instrText xml:space="preserve"> HYPERLINK \l _Toc7517 </w:instrText>
      </w:r>
      <w:r>
        <w:rPr>
          <w:rFonts w:hint="eastAsia" w:ascii="宋体" w:hAnsi="宋体" w:eastAsia="宋体" w:cs="宋体"/>
          <w:kern w:val="2"/>
          <w:sz w:val="21"/>
          <w:szCs w:val="22"/>
          <w:lang w:val="zh-CN" w:eastAsia="zh-CN" w:bidi="ar-SA"/>
        </w:rPr>
        <w:fldChar w:fldCharType="separate"/>
      </w:r>
      <w:r>
        <w:rPr>
          <w:rFonts w:hint="eastAsia" w:ascii="宋体" w:hAnsi="宋体" w:eastAsia="宋体" w:cs="宋体"/>
          <w:kern w:val="2"/>
          <w:sz w:val="21"/>
          <w:szCs w:val="22"/>
          <w:lang w:val="en-US" w:eastAsia="zh-CN" w:bidi="ar-SA"/>
        </w:rPr>
        <w:t>五、装置技</w:t>
      </w:r>
      <w:bookmarkStart w:id="8" w:name="_Hlt161604450"/>
      <w:bookmarkStart w:id="9" w:name="_Hlt161604449"/>
      <w:r>
        <w:rPr>
          <w:rFonts w:hint="eastAsia" w:ascii="宋体" w:hAnsi="宋体" w:eastAsia="宋体" w:cs="宋体"/>
          <w:kern w:val="2"/>
          <w:sz w:val="21"/>
          <w:szCs w:val="22"/>
          <w:lang w:val="en-US" w:eastAsia="zh-CN" w:bidi="ar-SA"/>
        </w:rPr>
        <w:t>术</w:t>
      </w:r>
      <w:bookmarkEnd w:id="8"/>
      <w:bookmarkEnd w:id="9"/>
      <w:r>
        <w:rPr>
          <w:rFonts w:hint="eastAsia" w:ascii="宋体" w:hAnsi="宋体" w:eastAsia="宋体" w:cs="宋体"/>
          <w:kern w:val="2"/>
          <w:sz w:val="21"/>
          <w:szCs w:val="22"/>
          <w:lang w:val="en-US" w:eastAsia="zh-CN" w:bidi="ar-SA"/>
        </w:rPr>
        <w:t>要求</w:t>
      </w:r>
      <w:r>
        <w:rPr>
          <w:rFonts w:hint="eastAsia" w:ascii="宋体" w:hAnsi="宋体" w:eastAsia="宋体" w:cs="宋体"/>
          <w:kern w:val="2"/>
          <w:sz w:val="21"/>
          <w:szCs w:val="22"/>
          <w:lang w:val="en-US" w:eastAsia="zh-CN" w:bidi="ar-SA"/>
        </w:rPr>
        <w:tab/>
      </w:r>
      <w:r>
        <w:rPr>
          <w:rFonts w:hint="eastAsia" w:ascii="宋体" w:hAnsi="宋体" w:eastAsia="宋体" w:cs="宋体"/>
          <w:kern w:val="2"/>
          <w:sz w:val="21"/>
          <w:szCs w:val="22"/>
          <w:lang w:val="en-US" w:eastAsia="zh-CN" w:bidi="ar-SA"/>
        </w:rPr>
        <w:fldChar w:fldCharType="begin"/>
      </w:r>
      <w:r>
        <w:rPr>
          <w:rFonts w:hint="eastAsia" w:ascii="宋体" w:hAnsi="宋体" w:eastAsia="宋体" w:cs="宋体"/>
          <w:kern w:val="2"/>
          <w:sz w:val="21"/>
          <w:szCs w:val="22"/>
          <w:lang w:val="en-US" w:eastAsia="zh-CN" w:bidi="ar-SA"/>
        </w:rPr>
        <w:instrText xml:space="preserve"> PAGEREF _Toc7517 </w:instrText>
      </w:r>
      <w:r>
        <w:rPr>
          <w:rFonts w:hint="eastAsia" w:ascii="宋体" w:hAnsi="宋体" w:eastAsia="宋体" w:cs="宋体"/>
          <w:kern w:val="2"/>
          <w:sz w:val="21"/>
          <w:szCs w:val="22"/>
          <w:lang w:val="en-US" w:eastAsia="zh-CN" w:bidi="ar-SA"/>
        </w:rPr>
        <w:fldChar w:fldCharType="separate"/>
      </w:r>
      <w:r>
        <w:rPr>
          <w:rFonts w:hint="eastAsia" w:ascii="宋体" w:hAnsi="宋体" w:eastAsia="宋体" w:cs="宋体"/>
          <w:kern w:val="2"/>
          <w:sz w:val="21"/>
          <w:szCs w:val="22"/>
          <w:lang w:val="en-US" w:eastAsia="zh-CN" w:bidi="ar-SA"/>
        </w:rPr>
        <w:t>3</w:t>
      </w:r>
      <w:r>
        <w:rPr>
          <w:rFonts w:hint="eastAsia" w:ascii="宋体" w:hAnsi="宋体" w:eastAsia="宋体" w:cs="宋体"/>
          <w:kern w:val="2"/>
          <w:sz w:val="21"/>
          <w:szCs w:val="22"/>
          <w:lang w:val="en-US" w:eastAsia="zh-CN" w:bidi="ar-SA"/>
        </w:rPr>
        <w:fldChar w:fldCharType="end"/>
      </w:r>
      <w:r>
        <w:rPr>
          <w:rFonts w:hint="eastAsia" w:ascii="宋体" w:hAnsi="宋体" w:eastAsia="宋体" w:cs="宋体"/>
          <w:kern w:val="2"/>
          <w:sz w:val="21"/>
          <w:szCs w:val="22"/>
          <w:lang w:val="zh-CN" w:eastAsia="zh-CN" w:bidi="ar-SA"/>
        </w:rPr>
        <w:fldChar w:fldCharType="end"/>
      </w:r>
    </w:p>
    <w:p>
      <w:pPr>
        <w:pStyle w:val="6"/>
        <w:tabs>
          <w:tab w:val="right" w:leader="dot" w:pos="8313"/>
        </w:tabs>
        <w:spacing w:line="360" w:lineRule="auto"/>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zh-CN" w:eastAsia="zh-CN" w:bidi="ar-SA"/>
        </w:rPr>
        <w:fldChar w:fldCharType="begin"/>
      </w:r>
      <w:r>
        <w:rPr>
          <w:rFonts w:hint="eastAsia" w:ascii="宋体" w:hAnsi="宋体" w:eastAsia="宋体" w:cs="宋体"/>
          <w:kern w:val="2"/>
          <w:sz w:val="21"/>
          <w:szCs w:val="22"/>
          <w:lang w:val="zh-CN" w:eastAsia="zh-CN" w:bidi="ar-SA"/>
        </w:rPr>
        <w:instrText xml:space="preserve"> HYPERLINK \l _Toc5996 </w:instrText>
      </w:r>
      <w:r>
        <w:rPr>
          <w:rFonts w:hint="eastAsia" w:ascii="宋体" w:hAnsi="宋体" w:eastAsia="宋体" w:cs="宋体"/>
          <w:kern w:val="2"/>
          <w:sz w:val="21"/>
          <w:szCs w:val="22"/>
          <w:lang w:val="zh-CN" w:eastAsia="zh-CN" w:bidi="ar-SA"/>
        </w:rPr>
        <w:fldChar w:fldCharType="separate"/>
      </w:r>
      <w:r>
        <w:rPr>
          <w:rFonts w:hint="eastAsia" w:ascii="宋体" w:hAnsi="宋体" w:eastAsia="宋体" w:cs="宋体"/>
          <w:kern w:val="2"/>
          <w:sz w:val="21"/>
          <w:szCs w:val="22"/>
          <w:lang w:val="en-US" w:eastAsia="zh-CN" w:bidi="ar-SA"/>
        </w:rPr>
        <w:t>六、质量保证与服务</w:t>
      </w:r>
      <w:r>
        <w:rPr>
          <w:rFonts w:hint="eastAsia" w:ascii="宋体" w:hAnsi="宋体" w:eastAsia="宋体" w:cs="宋体"/>
          <w:kern w:val="2"/>
          <w:sz w:val="21"/>
          <w:szCs w:val="22"/>
          <w:lang w:val="en-US" w:eastAsia="zh-CN" w:bidi="ar-SA"/>
        </w:rPr>
        <w:tab/>
      </w:r>
      <w:r>
        <w:rPr>
          <w:rFonts w:hint="eastAsia" w:ascii="宋体" w:hAnsi="宋体" w:eastAsia="宋体" w:cs="宋体"/>
          <w:kern w:val="2"/>
          <w:sz w:val="21"/>
          <w:szCs w:val="22"/>
          <w:lang w:val="en-US" w:eastAsia="zh-CN" w:bidi="ar-SA"/>
        </w:rPr>
        <w:t>8</w:t>
      </w:r>
      <w:r>
        <w:rPr>
          <w:rFonts w:hint="eastAsia" w:ascii="宋体" w:hAnsi="宋体" w:eastAsia="宋体" w:cs="宋体"/>
          <w:kern w:val="2"/>
          <w:sz w:val="21"/>
          <w:szCs w:val="22"/>
          <w:lang w:val="zh-CN" w:eastAsia="zh-CN" w:bidi="ar-SA"/>
        </w:rPr>
        <w:fldChar w:fldCharType="end"/>
      </w:r>
    </w:p>
    <w:p>
      <w:pPr>
        <w:pStyle w:val="6"/>
        <w:tabs>
          <w:tab w:val="right" w:leader="dot" w:pos="8313"/>
        </w:tabs>
        <w:spacing w:line="360" w:lineRule="auto"/>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zh-CN" w:eastAsia="zh-CN" w:bidi="ar-SA"/>
        </w:rPr>
        <w:fldChar w:fldCharType="begin"/>
      </w:r>
      <w:r>
        <w:rPr>
          <w:rFonts w:hint="eastAsia" w:ascii="宋体" w:hAnsi="宋体" w:eastAsia="宋体" w:cs="宋体"/>
          <w:kern w:val="2"/>
          <w:sz w:val="21"/>
          <w:szCs w:val="22"/>
          <w:lang w:val="zh-CN" w:eastAsia="zh-CN" w:bidi="ar-SA"/>
        </w:rPr>
        <w:instrText xml:space="preserve"> HYPERLINK \l _Toc32683 </w:instrText>
      </w:r>
      <w:r>
        <w:rPr>
          <w:rFonts w:hint="eastAsia" w:ascii="宋体" w:hAnsi="宋体" w:eastAsia="宋体" w:cs="宋体"/>
          <w:kern w:val="2"/>
          <w:sz w:val="21"/>
          <w:szCs w:val="22"/>
          <w:lang w:val="zh-CN" w:eastAsia="zh-CN" w:bidi="ar-SA"/>
        </w:rPr>
        <w:fldChar w:fldCharType="separate"/>
      </w:r>
      <w:r>
        <w:rPr>
          <w:rFonts w:hint="eastAsia" w:ascii="宋体" w:hAnsi="宋体" w:eastAsia="宋体" w:cs="宋体"/>
          <w:kern w:val="2"/>
          <w:sz w:val="21"/>
          <w:szCs w:val="22"/>
          <w:lang w:val="en-US" w:eastAsia="zh-CN" w:bidi="ar-SA"/>
        </w:rPr>
        <w:t>附件  供货需求和供货范围表</w:t>
      </w:r>
      <w:r>
        <w:rPr>
          <w:rFonts w:hint="eastAsia" w:ascii="宋体" w:hAnsi="宋体" w:eastAsia="宋体" w:cs="宋体"/>
          <w:kern w:val="2"/>
          <w:sz w:val="21"/>
          <w:szCs w:val="22"/>
          <w:lang w:val="en-US" w:eastAsia="zh-CN" w:bidi="ar-SA"/>
        </w:rPr>
        <w:tab/>
      </w:r>
      <w:r>
        <w:rPr>
          <w:rFonts w:hint="eastAsia" w:ascii="宋体" w:hAnsi="宋体" w:eastAsia="宋体" w:cs="宋体"/>
          <w:kern w:val="2"/>
          <w:sz w:val="21"/>
          <w:szCs w:val="22"/>
          <w:lang w:val="en-US" w:eastAsia="zh-CN" w:bidi="ar-SA"/>
        </w:rPr>
        <w:fldChar w:fldCharType="begin"/>
      </w:r>
      <w:r>
        <w:rPr>
          <w:rFonts w:hint="eastAsia" w:ascii="宋体" w:hAnsi="宋体" w:eastAsia="宋体" w:cs="宋体"/>
          <w:kern w:val="2"/>
          <w:sz w:val="21"/>
          <w:szCs w:val="22"/>
          <w:lang w:val="en-US" w:eastAsia="zh-CN" w:bidi="ar-SA"/>
        </w:rPr>
        <w:instrText xml:space="preserve"> PAGEREF _Toc32683 </w:instrText>
      </w:r>
      <w:r>
        <w:rPr>
          <w:rFonts w:hint="eastAsia" w:ascii="宋体" w:hAnsi="宋体" w:eastAsia="宋体" w:cs="宋体"/>
          <w:kern w:val="2"/>
          <w:sz w:val="21"/>
          <w:szCs w:val="22"/>
          <w:lang w:val="en-US" w:eastAsia="zh-CN" w:bidi="ar-SA"/>
        </w:rPr>
        <w:fldChar w:fldCharType="separate"/>
      </w:r>
      <w:r>
        <w:rPr>
          <w:rFonts w:hint="eastAsia" w:ascii="宋体" w:hAnsi="宋体" w:eastAsia="宋体" w:cs="宋体"/>
          <w:kern w:val="2"/>
          <w:sz w:val="21"/>
          <w:szCs w:val="22"/>
          <w:lang w:val="en-US" w:eastAsia="zh-CN" w:bidi="ar-SA"/>
        </w:rPr>
        <w:t>10</w:t>
      </w:r>
      <w:r>
        <w:rPr>
          <w:rFonts w:hint="eastAsia" w:ascii="宋体" w:hAnsi="宋体" w:eastAsia="宋体" w:cs="宋体"/>
          <w:kern w:val="2"/>
          <w:sz w:val="21"/>
          <w:szCs w:val="22"/>
          <w:lang w:val="en-US" w:eastAsia="zh-CN" w:bidi="ar-SA"/>
        </w:rPr>
        <w:fldChar w:fldCharType="end"/>
      </w:r>
      <w:r>
        <w:rPr>
          <w:rFonts w:hint="eastAsia" w:ascii="宋体" w:hAnsi="宋体" w:eastAsia="宋体" w:cs="宋体"/>
          <w:kern w:val="2"/>
          <w:sz w:val="21"/>
          <w:szCs w:val="22"/>
          <w:lang w:val="zh-CN" w:eastAsia="zh-CN" w:bidi="ar-SA"/>
        </w:rPr>
        <w:fldChar w:fldCharType="end"/>
      </w:r>
    </w:p>
    <w:p>
      <w:pPr>
        <w:pStyle w:val="6"/>
        <w:tabs>
          <w:tab w:val="right" w:leader="dot" w:pos="8313"/>
        </w:tabs>
        <w:spacing w:line="360" w:lineRule="auto"/>
        <w:rPr>
          <w:rFonts w:hint="default" w:ascii="宋体" w:hAnsi="宋体" w:eastAsia="宋体" w:cs="宋体"/>
          <w:kern w:val="2"/>
          <w:sz w:val="21"/>
          <w:szCs w:val="22"/>
          <w:lang w:val="en-US" w:eastAsia="zh-CN" w:bidi="ar-SA"/>
        </w:rPr>
      </w:pPr>
      <w:r>
        <w:rPr>
          <w:rFonts w:hint="eastAsia" w:ascii="宋体" w:hAnsi="宋体" w:eastAsia="宋体" w:cs="宋体"/>
          <w:kern w:val="2"/>
          <w:sz w:val="21"/>
          <w:szCs w:val="22"/>
          <w:lang w:val="zh-CN" w:eastAsia="zh-CN" w:bidi="ar-SA"/>
        </w:rPr>
        <w:fldChar w:fldCharType="begin"/>
      </w:r>
      <w:r>
        <w:rPr>
          <w:rFonts w:hint="eastAsia" w:ascii="宋体" w:hAnsi="宋体" w:eastAsia="宋体" w:cs="宋体"/>
          <w:kern w:val="2"/>
          <w:sz w:val="21"/>
          <w:szCs w:val="22"/>
          <w:lang w:val="zh-CN" w:eastAsia="zh-CN" w:bidi="ar-SA"/>
        </w:rPr>
        <w:instrText xml:space="preserve"> HYPERLINK \l _Toc6175 </w:instrText>
      </w:r>
      <w:r>
        <w:rPr>
          <w:rFonts w:hint="eastAsia" w:ascii="宋体" w:hAnsi="宋体" w:eastAsia="宋体" w:cs="宋体"/>
          <w:kern w:val="2"/>
          <w:sz w:val="21"/>
          <w:szCs w:val="22"/>
          <w:lang w:val="zh-CN" w:eastAsia="zh-CN" w:bidi="ar-SA"/>
        </w:rPr>
        <w:fldChar w:fldCharType="separate"/>
      </w:r>
      <w:r>
        <w:rPr>
          <w:rFonts w:hint="eastAsia" w:ascii="宋体" w:hAnsi="宋体" w:eastAsia="宋体" w:cs="宋体"/>
          <w:kern w:val="2"/>
          <w:sz w:val="21"/>
          <w:szCs w:val="22"/>
          <w:lang w:val="en-US" w:eastAsia="zh-CN" w:bidi="ar-SA"/>
        </w:rPr>
        <w:t>七、包装运输和储存</w:t>
      </w:r>
      <w:r>
        <w:rPr>
          <w:rFonts w:hint="eastAsia" w:ascii="宋体" w:hAnsi="宋体" w:eastAsia="宋体" w:cs="宋体"/>
          <w:kern w:val="2"/>
          <w:sz w:val="21"/>
          <w:szCs w:val="22"/>
          <w:lang w:val="en-US" w:eastAsia="zh-CN" w:bidi="ar-SA"/>
        </w:rPr>
        <w:tab/>
      </w:r>
      <w:r>
        <w:rPr>
          <w:rFonts w:hint="eastAsia" w:ascii="宋体" w:hAnsi="宋体" w:eastAsia="宋体" w:cs="宋体"/>
          <w:kern w:val="2"/>
          <w:sz w:val="21"/>
          <w:szCs w:val="22"/>
          <w:lang w:val="en-US" w:eastAsia="zh-CN" w:bidi="ar-SA"/>
        </w:rPr>
        <w:t>1</w:t>
      </w:r>
      <w:r>
        <w:rPr>
          <w:rFonts w:hint="eastAsia" w:ascii="宋体" w:hAnsi="宋体" w:eastAsia="宋体" w:cs="宋体"/>
          <w:kern w:val="2"/>
          <w:sz w:val="21"/>
          <w:szCs w:val="22"/>
          <w:lang w:val="zh-CN" w:eastAsia="zh-CN" w:bidi="ar-SA"/>
        </w:rPr>
        <w:fldChar w:fldCharType="end"/>
      </w:r>
      <w:r>
        <w:rPr>
          <w:rFonts w:hint="eastAsia" w:ascii="宋体" w:hAnsi="宋体" w:eastAsia="宋体" w:cs="宋体"/>
          <w:kern w:val="2"/>
          <w:sz w:val="21"/>
          <w:szCs w:val="22"/>
          <w:lang w:val="en-US" w:eastAsia="zh-CN" w:bidi="ar-SA"/>
        </w:rPr>
        <w:t>1</w:t>
      </w:r>
    </w:p>
    <w:p>
      <w:pPr>
        <w:pStyle w:val="6"/>
        <w:tabs>
          <w:tab w:val="right" w:leader="dot" w:pos="8313"/>
        </w:tabs>
        <w:spacing w:line="360" w:lineRule="auto"/>
        <w:rPr>
          <w:rFonts w:hint="default" w:ascii="宋体" w:hAnsi="宋体" w:eastAsia="宋体" w:cs="宋体"/>
          <w:kern w:val="2"/>
          <w:sz w:val="21"/>
          <w:szCs w:val="22"/>
          <w:lang w:val="en-US" w:eastAsia="zh-CN" w:bidi="ar-SA"/>
        </w:rPr>
      </w:pPr>
      <w:r>
        <w:rPr>
          <w:rFonts w:hint="eastAsia" w:ascii="宋体" w:hAnsi="宋体" w:eastAsia="宋体" w:cs="宋体"/>
          <w:kern w:val="2"/>
          <w:sz w:val="21"/>
          <w:szCs w:val="22"/>
          <w:lang w:val="zh-CN" w:eastAsia="zh-CN" w:bidi="ar-SA"/>
        </w:rPr>
        <w:fldChar w:fldCharType="begin"/>
      </w:r>
      <w:r>
        <w:rPr>
          <w:rFonts w:hint="eastAsia" w:ascii="宋体" w:hAnsi="宋体" w:eastAsia="宋体" w:cs="宋体"/>
          <w:kern w:val="2"/>
          <w:sz w:val="21"/>
          <w:szCs w:val="22"/>
          <w:lang w:val="zh-CN" w:eastAsia="zh-CN" w:bidi="ar-SA"/>
        </w:rPr>
        <w:instrText xml:space="preserve"> HYPERLINK \l _Toc7647 </w:instrText>
      </w:r>
      <w:r>
        <w:rPr>
          <w:rFonts w:hint="eastAsia" w:ascii="宋体" w:hAnsi="宋体" w:eastAsia="宋体" w:cs="宋体"/>
          <w:kern w:val="2"/>
          <w:sz w:val="21"/>
          <w:szCs w:val="22"/>
          <w:lang w:val="zh-CN" w:eastAsia="zh-CN" w:bidi="ar-SA"/>
        </w:rPr>
        <w:fldChar w:fldCharType="separate"/>
      </w:r>
      <w:r>
        <w:rPr>
          <w:rFonts w:hint="eastAsia" w:ascii="宋体" w:hAnsi="宋体" w:eastAsia="宋体" w:cs="宋体"/>
          <w:kern w:val="2"/>
          <w:sz w:val="21"/>
          <w:szCs w:val="22"/>
          <w:lang w:val="en-US" w:eastAsia="zh-CN" w:bidi="ar-SA"/>
        </w:rPr>
        <w:t>八、供货范围</w:t>
      </w:r>
      <w:r>
        <w:rPr>
          <w:rFonts w:hint="eastAsia" w:ascii="宋体" w:hAnsi="宋体" w:eastAsia="宋体" w:cs="宋体"/>
          <w:kern w:val="2"/>
          <w:sz w:val="21"/>
          <w:szCs w:val="22"/>
          <w:lang w:val="en-US" w:eastAsia="zh-CN" w:bidi="ar-SA"/>
        </w:rPr>
        <w:tab/>
      </w:r>
      <w:r>
        <w:rPr>
          <w:rFonts w:hint="eastAsia" w:ascii="宋体" w:hAnsi="宋体" w:eastAsia="宋体" w:cs="宋体"/>
          <w:kern w:val="2"/>
          <w:sz w:val="21"/>
          <w:szCs w:val="22"/>
          <w:lang w:val="en-US" w:eastAsia="zh-CN" w:bidi="ar-SA"/>
        </w:rPr>
        <w:t>1</w:t>
      </w:r>
      <w:r>
        <w:rPr>
          <w:rFonts w:hint="eastAsia" w:ascii="宋体" w:hAnsi="宋体" w:eastAsia="宋体" w:cs="宋体"/>
          <w:kern w:val="2"/>
          <w:sz w:val="21"/>
          <w:szCs w:val="22"/>
          <w:lang w:val="zh-CN" w:eastAsia="zh-CN" w:bidi="ar-SA"/>
        </w:rPr>
        <w:fldChar w:fldCharType="end"/>
      </w:r>
      <w:r>
        <w:rPr>
          <w:rFonts w:hint="eastAsia" w:ascii="宋体" w:hAnsi="宋体" w:eastAsia="宋体" w:cs="宋体"/>
          <w:kern w:val="2"/>
          <w:sz w:val="21"/>
          <w:szCs w:val="22"/>
          <w:lang w:val="en-US" w:eastAsia="zh-CN" w:bidi="ar-SA"/>
        </w:rPr>
        <w:t>2</w:t>
      </w:r>
    </w:p>
    <w:p>
      <w:pPr>
        <w:pStyle w:val="6"/>
        <w:tabs>
          <w:tab w:val="right" w:leader="dot" w:pos="8313"/>
        </w:tabs>
        <w:spacing w:line="360" w:lineRule="auto"/>
        <w:rPr>
          <w:rFonts w:hint="default" w:ascii="宋体" w:hAnsi="宋体" w:eastAsia="宋体" w:cs="宋体"/>
          <w:kern w:val="2"/>
          <w:sz w:val="21"/>
          <w:szCs w:val="22"/>
          <w:lang w:val="en-US" w:eastAsia="zh-CN" w:bidi="ar-SA"/>
        </w:rPr>
      </w:pPr>
      <w:r>
        <w:rPr>
          <w:rFonts w:hint="eastAsia" w:ascii="宋体" w:hAnsi="宋体" w:eastAsia="宋体" w:cs="宋体"/>
          <w:kern w:val="2"/>
          <w:sz w:val="21"/>
          <w:szCs w:val="22"/>
          <w:lang w:val="zh-CN" w:eastAsia="zh-CN" w:bidi="ar-SA"/>
        </w:rPr>
        <w:fldChar w:fldCharType="begin"/>
      </w:r>
      <w:r>
        <w:rPr>
          <w:rFonts w:hint="eastAsia" w:ascii="宋体" w:hAnsi="宋体" w:eastAsia="宋体" w:cs="宋体"/>
          <w:kern w:val="2"/>
          <w:sz w:val="21"/>
          <w:szCs w:val="22"/>
          <w:lang w:val="zh-CN" w:eastAsia="zh-CN" w:bidi="ar-SA"/>
        </w:rPr>
        <w:instrText xml:space="preserve"> HYPERLINK \l _Toc5943 </w:instrText>
      </w:r>
      <w:r>
        <w:rPr>
          <w:rFonts w:hint="eastAsia" w:ascii="宋体" w:hAnsi="宋体" w:eastAsia="宋体" w:cs="宋体"/>
          <w:kern w:val="2"/>
          <w:sz w:val="21"/>
          <w:szCs w:val="22"/>
          <w:lang w:val="zh-CN" w:eastAsia="zh-CN" w:bidi="ar-SA"/>
        </w:rPr>
        <w:fldChar w:fldCharType="separate"/>
      </w:r>
      <w:r>
        <w:rPr>
          <w:rFonts w:hint="eastAsia" w:ascii="宋体" w:hAnsi="宋体" w:eastAsia="宋体" w:cs="宋体"/>
          <w:kern w:val="2"/>
          <w:sz w:val="21"/>
          <w:szCs w:val="22"/>
          <w:lang w:val="en-US" w:eastAsia="zh-CN" w:bidi="ar-SA"/>
        </w:rPr>
        <w:t>九、售后服务及培训</w:t>
      </w:r>
      <w:r>
        <w:rPr>
          <w:rFonts w:hint="eastAsia" w:ascii="宋体" w:hAnsi="宋体" w:eastAsia="宋体" w:cs="宋体"/>
          <w:kern w:val="2"/>
          <w:sz w:val="21"/>
          <w:szCs w:val="22"/>
          <w:lang w:val="en-US" w:eastAsia="zh-CN" w:bidi="ar-SA"/>
        </w:rPr>
        <w:tab/>
      </w:r>
      <w:r>
        <w:rPr>
          <w:rFonts w:hint="eastAsia" w:ascii="宋体" w:hAnsi="宋体" w:eastAsia="宋体" w:cs="宋体"/>
          <w:kern w:val="2"/>
          <w:sz w:val="21"/>
          <w:szCs w:val="22"/>
          <w:lang w:val="en-US" w:eastAsia="zh-CN" w:bidi="ar-SA"/>
        </w:rPr>
        <w:t>1</w:t>
      </w:r>
      <w:r>
        <w:rPr>
          <w:rFonts w:hint="eastAsia" w:ascii="宋体" w:hAnsi="宋体" w:eastAsia="宋体" w:cs="宋体"/>
          <w:kern w:val="2"/>
          <w:sz w:val="21"/>
          <w:szCs w:val="22"/>
          <w:lang w:val="zh-CN" w:eastAsia="zh-CN" w:bidi="ar-SA"/>
        </w:rPr>
        <w:fldChar w:fldCharType="end"/>
      </w:r>
      <w:r>
        <w:rPr>
          <w:rFonts w:hint="eastAsia" w:ascii="宋体" w:hAnsi="宋体" w:eastAsia="宋体" w:cs="宋体"/>
          <w:kern w:val="2"/>
          <w:sz w:val="21"/>
          <w:szCs w:val="22"/>
          <w:lang w:val="en-US" w:eastAsia="zh-CN" w:bidi="ar-SA"/>
        </w:rPr>
        <w:t>2</w:t>
      </w:r>
    </w:p>
    <w:p>
      <w:pPr>
        <w:pStyle w:val="6"/>
        <w:tabs>
          <w:tab w:val="right" w:leader="dot" w:pos="8313"/>
        </w:tabs>
        <w:spacing w:line="360" w:lineRule="auto"/>
        <w:rPr>
          <w:rFonts w:hint="default" w:ascii="宋体" w:hAnsi="宋体" w:eastAsia="宋体" w:cs="宋体"/>
          <w:kern w:val="2"/>
          <w:sz w:val="21"/>
          <w:szCs w:val="22"/>
          <w:lang w:val="en-US" w:eastAsia="zh-CN" w:bidi="ar-SA"/>
        </w:rPr>
      </w:pPr>
      <w:r>
        <w:rPr>
          <w:rFonts w:hint="eastAsia" w:ascii="宋体" w:hAnsi="宋体" w:eastAsia="宋体" w:cs="宋体"/>
          <w:kern w:val="2"/>
          <w:sz w:val="21"/>
          <w:szCs w:val="22"/>
          <w:lang w:val="zh-CN" w:eastAsia="zh-CN" w:bidi="ar-SA"/>
        </w:rPr>
        <w:fldChar w:fldCharType="begin"/>
      </w:r>
      <w:r>
        <w:rPr>
          <w:rFonts w:hint="eastAsia" w:ascii="宋体" w:hAnsi="宋体" w:eastAsia="宋体" w:cs="宋体"/>
          <w:kern w:val="2"/>
          <w:sz w:val="21"/>
          <w:szCs w:val="22"/>
          <w:lang w:val="zh-CN" w:eastAsia="zh-CN" w:bidi="ar-SA"/>
        </w:rPr>
        <w:instrText xml:space="preserve"> HYPERLINK \l _Toc25496 </w:instrText>
      </w:r>
      <w:r>
        <w:rPr>
          <w:rFonts w:hint="eastAsia" w:ascii="宋体" w:hAnsi="宋体" w:eastAsia="宋体" w:cs="宋体"/>
          <w:kern w:val="2"/>
          <w:sz w:val="21"/>
          <w:szCs w:val="22"/>
          <w:lang w:val="zh-CN" w:eastAsia="zh-CN" w:bidi="ar-SA"/>
        </w:rPr>
        <w:fldChar w:fldCharType="separate"/>
      </w:r>
      <w:r>
        <w:rPr>
          <w:rFonts w:hint="eastAsia" w:ascii="宋体" w:hAnsi="宋体" w:eastAsia="宋体" w:cs="宋体"/>
          <w:kern w:val="2"/>
          <w:sz w:val="21"/>
          <w:szCs w:val="22"/>
          <w:lang w:val="en-US" w:eastAsia="zh-CN" w:bidi="ar-SA"/>
        </w:rPr>
        <w:t>十、技术资料和交付进度</w:t>
      </w:r>
      <w:r>
        <w:rPr>
          <w:rFonts w:hint="eastAsia" w:ascii="宋体" w:hAnsi="宋体" w:eastAsia="宋体" w:cs="宋体"/>
          <w:kern w:val="2"/>
          <w:sz w:val="21"/>
          <w:szCs w:val="22"/>
          <w:lang w:val="en-US" w:eastAsia="zh-CN" w:bidi="ar-SA"/>
        </w:rPr>
        <w:tab/>
      </w:r>
      <w:r>
        <w:rPr>
          <w:rFonts w:hint="eastAsia" w:ascii="宋体" w:hAnsi="宋体" w:eastAsia="宋体" w:cs="宋体"/>
          <w:kern w:val="2"/>
          <w:sz w:val="21"/>
          <w:szCs w:val="22"/>
          <w:lang w:val="en-US" w:eastAsia="zh-CN" w:bidi="ar-SA"/>
        </w:rPr>
        <w:t>1</w:t>
      </w:r>
      <w:r>
        <w:rPr>
          <w:rFonts w:hint="eastAsia" w:ascii="宋体" w:hAnsi="宋体" w:eastAsia="宋体" w:cs="宋体"/>
          <w:kern w:val="2"/>
          <w:sz w:val="21"/>
          <w:szCs w:val="22"/>
          <w:lang w:val="zh-CN" w:eastAsia="zh-CN" w:bidi="ar-SA"/>
        </w:rPr>
        <w:fldChar w:fldCharType="end"/>
      </w:r>
      <w:r>
        <w:rPr>
          <w:rFonts w:hint="eastAsia" w:ascii="宋体" w:hAnsi="宋体" w:eastAsia="宋体" w:cs="宋体"/>
          <w:kern w:val="2"/>
          <w:sz w:val="21"/>
          <w:szCs w:val="22"/>
          <w:lang w:val="en-US" w:eastAsia="zh-CN" w:bidi="ar-SA"/>
        </w:rPr>
        <w:t>3</w:t>
      </w:r>
    </w:p>
    <w:p>
      <w:pPr>
        <w:pStyle w:val="6"/>
        <w:tabs>
          <w:tab w:val="right" w:leader="dot" w:pos="8313"/>
        </w:tabs>
        <w:spacing w:line="360" w:lineRule="auto"/>
        <w:rPr>
          <w:rFonts w:hint="default" w:ascii="宋体" w:hAnsi="宋体" w:eastAsia="宋体" w:cs="宋体"/>
          <w:kern w:val="2"/>
          <w:sz w:val="21"/>
          <w:szCs w:val="22"/>
          <w:lang w:val="en-US" w:eastAsia="zh-CN" w:bidi="ar-SA"/>
        </w:rPr>
      </w:pPr>
    </w:p>
    <w:p>
      <w:pPr>
        <w:spacing w:line="360" w:lineRule="auto"/>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zh-CN" w:eastAsia="zh-CN" w:bidi="ar-SA"/>
        </w:rPr>
        <w:fldChar w:fldCharType="end"/>
      </w:r>
    </w:p>
    <w:p>
      <w:pPr>
        <w:widowControl/>
        <w:spacing w:line="360" w:lineRule="auto"/>
        <w:jc w:val="left"/>
        <w:rPr>
          <w:rFonts w:hAnsi="宋体"/>
          <w:b/>
          <w:sz w:val="28"/>
          <w:szCs w:val="28"/>
        </w:rPr>
      </w:pPr>
    </w:p>
    <w:p>
      <w:pPr>
        <w:overflowPunct w:val="0"/>
        <w:spacing w:line="360" w:lineRule="auto"/>
        <w:rPr>
          <w:rFonts w:hAnsi="宋体"/>
          <w:b/>
          <w:sz w:val="28"/>
          <w:szCs w:val="28"/>
        </w:rPr>
      </w:pPr>
    </w:p>
    <w:p>
      <w:pPr>
        <w:pStyle w:val="11"/>
        <w:spacing w:line="360" w:lineRule="auto"/>
        <w:rPr>
          <w:rFonts w:hAnsi="宋体"/>
          <w:b/>
          <w:sz w:val="28"/>
          <w:szCs w:val="28"/>
        </w:rPr>
      </w:pPr>
    </w:p>
    <w:p>
      <w:pPr>
        <w:pStyle w:val="11"/>
        <w:spacing w:line="360" w:lineRule="auto"/>
        <w:rPr>
          <w:rFonts w:hAnsi="宋体"/>
          <w:b/>
          <w:sz w:val="28"/>
          <w:szCs w:val="28"/>
        </w:rPr>
      </w:pPr>
    </w:p>
    <w:p>
      <w:pPr>
        <w:pStyle w:val="11"/>
        <w:spacing w:line="360" w:lineRule="auto"/>
        <w:rPr>
          <w:rFonts w:hAnsi="宋体"/>
          <w:b/>
          <w:sz w:val="28"/>
          <w:szCs w:val="28"/>
        </w:rPr>
      </w:pPr>
    </w:p>
    <w:p>
      <w:pPr>
        <w:overflowPunct w:val="0"/>
        <w:spacing w:line="360" w:lineRule="auto"/>
        <w:rPr>
          <w:rFonts w:hAnsi="宋体"/>
          <w:b/>
          <w:sz w:val="28"/>
          <w:szCs w:val="28"/>
        </w:rPr>
      </w:pPr>
    </w:p>
    <w:p>
      <w:pPr>
        <w:overflowPunct w:val="0"/>
        <w:spacing w:line="360" w:lineRule="auto"/>
        <w:rPr>
          <w:rFonts w:hAnsi="宋体"/>
          <w:b/>
          <w:sz w:val="28"/>
          <w:szCs w:val="28"/>
        </w:rPr>
      </w:pPr>
    </w:p>
    <w:p>
      <w:pPr>
        <w:overflowPunct w:val="0"/>
        <w:spacing w:line="360" w:lineRule="auto"/>
        <w:rPr>
          <w:rFonts w:hAnsi="宋体"/>
          <w:b/>
          <w:sz w:val="28"/>
          <w:szCs w:val="28"/>
        </w:rPr>
      </w:pPr>
    </w:p>
    <w:p>
      <w:pPr>
        <w:overflowPunct w:val="0"/>
        <w:spacing w:line="360" w:lineRule="auto"/>
        <w:rPr>
          <w:rFonts w:hAnsi="宋体"/>
          <w:b/>
          <w:sz w:val="28"/>
          <w:szCs w:val="28"/>
        </w:rPr>
      </w:pPr>
    </w:p>
    <w:p>
      <w:pPr>
        <w:overflowPunct w:val="0"/>
        <w:spacing w:line="360" w:lineRule="auto"/>
        <w:rPr>
          <w:rFonts w:hAnsi="宋体"/>
          <w:b/>
          <w:sz w:val="28"/>
          <w:szCs w:val="28"/>
        </w:rPr>
      </w:pPr>
    </w:p>
    <w:p>
      <w:pPr>
        <w:bidi w:val="0"/>
      </w:pPr>
    </w:p>
    <w:p>
      <w:pPr>
        <w:spacing w:line="360" w:lineRule="auto"/>
        <w:rPr>
          <w:rFonts w:hAnsi="宋体"/>
          <w:b/>
          <w:sz w:val="28"/>
          <w:szCs w:val="28"/>
        </w:rPr>
      </w:pPr>
    </w:p>
    <w:p>
      <w:pPr>
        <w:pStyle w:val="3"/>
        <w:bidi w:val="0"/>
      </w:pPr>
    </w:p>
    <w:p>
      <w:pPr>
        <w:pStyle w:val="3"/>
        <w:bidi w:val="0"/>
      </w:pPr>
    </w:p>
    <w:bookmarkEnd w:id="0"/>
    <w:bookmarkEnd w:id="1"/>
    <w:bookmarkEnd w:id="2"/>
    <w:bookmarkEnd w:id="3"/>
    <w:bookmarkEnd w:id="4"/>
    <w:bookmarkEnd w:id="5"/>
    <w:p>
      <w:pPr>
        <w:adjustRightInd w:val="0"/>
        <w:snapToGrid w:val="0"/>
        <w:spacing w:line="360" w:lineRule="auto"/>
        <w:ind w:left="560" w:leftChars="0" w:firstLine="480" w:firstLineChars="0"/>
        <w:outlineLvl w:val="0"/>
        <w:rPr>
          <w:rFonts w:hint="eastAsia" w:ascii="宋体" w:hAnsi="宋体" w:eastAsia="宋体" w:cs="宋体"/>
          <w:b/>
          <w:bCs/>
        </w:rPr>
      </w:pPr>
      <w:bookmarkStart w:id="10" w:name="_Toc17980"/>
      <w:r>
        <w:rPr>
          <w:rFonts w:hint="eastAsia" w:ascii="宋体" w:hAnsi="宋体" w:eastAsia="宋体" w:cs="宋体"/>
          <w:b/>
          <w:bCs/>
        </w:rPr>
        <w:br w:type="page"/>
      </w:r>
      <w:r>
        <w:rPr>
          <w:rFonts w:hint="eastAsia" w:ascii="宋体" w:hAnsi="宋体" w:eastAsia="宋体" w:cs="宋体"/>
          <w:b/>
          <w:bCs/>
        </w:rPr>
        <w:t>一、总体要求</w:t>
      </w:r>
      <w:bookmarkEnd w:id="10"/>
      <w:bookmarkStart w:id="11" w:name="_Toc278290295"/>
      <w:bookmarkStart w:id="12" w:name="_Toc245454390"/>
    </w:p>
    <w:bookmarkEnd w:id="11"/>
    <w:bookmarkEnd w:id="12"/>
    <w:p>
      <w:pPr>
        <w:adjustRightInd w:val="0"/>
        <w:snapToGrid w:val="0"/>
        <w:spacing w:line="360" w:lineRule="auto"/>
        <w:ind w:left="560" w:firstLine="480"/>
        <w:rPr>
          <w:rFonts w:hint="eastAsia" w:ascii="宋体" w:hAnsi="宋体" w:eastAsia="宋体" w:cs="宋体"/>
        </w:rPr>
      </w:pPr>
      <w:bookmarkStart w:id="13" w:name="_Toc31343"/>
      <w:r>
        <w:rPr>
          <w:rFonts w:hint="eastAsia" w:ascii="宋体" w:hAnsi="宋体" w:eastAsia="宋体" w:cs="宋体"/>
        </w:rPr>
        <w:t>1.1本技术</w:t>
      </w:r>
      <w:r>
        <w:rPr>
          <w:rFonts w:hint="eastAsia" w:ascii="宋体" w:hAnsi="宋体" w:eastAsia="宋体" w:cs="宋体"/>
          <w:lang w:eastAsia="zh-CN"/>
        </w:rPr>
        <w:t>协议</w:t>
      </w:r>
      <w:r>
        <w:rPr>
          <w:rFonts w:hint="eastAsia" w:ascii="宋体" w:hAnsi="宋体" w:eastAsia="宋体" w:cs="宋体"/>
        </w:rPr>
        <w:t>适用于</w:t>
      </w:r>
      <w:r>
        <w:rPr>
          <w:rFonts w:hint="eastAsia" w:ascii="宋体" w:hAnsi="宋体" w:eastAsia="宋体" w:cs="宋体"/>
          <w:lang w:val="en-US" w:eastAsia="zh-CN"/>
        </w:rPr>
        <w:t>宁夏中宁发电有限责任公司</w:t>
      </w:r>
      <w:r>
        <w:rPr>
          <w:rFonts w:hint="eastAsia" w:ascii="宋体" w:hAnsi="宋体" w:eastAsia="宋体" w:cs="宋体"/>
          <w:lang w:eastAsia="zh-CN"/>
        </w:rPr>
        <w:t>电力监控二次安防系统改造</w:t>
      </w:r>
      <w:r>
        <w:rPr>
          <w:rFonts w:hint="eastAsia" w:ascii="宋体" w:hAnsi="宋体" w:eastAsia="宋体" w:cs="宋体"/>
          <w:lang w:val="zh-CN"/>
        </w:rPr>
        <w:t>项目</w:t>
      </w:r>
      <w:r>
        <w:rPr>
          <w:rFonts w:hint="eastAsia" w:ascii="宋体" w:hAnsi="宋体" w:eastAsia="宋体" w:cs="宋体"/>
        </w:rPr>
        <w:t>。它提出了设备的功能设计、结构、性能、安装、调试、验收等方面的技术要求。</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1.2 在本技术</w:t>
      </w:r>
      <w:r>
        <w:rPr>
          <w:rFonts w:hint="eastAsia" w:ascii="宋体" w:hAnsi="宋体" w:eastAsia="宋体" w:cs="宋体"/>
          <w:lang w:eastAsia="zh-CN"/>
        </w:rPr>
        <w:t>协议</w:t>
      </w:r>
      <w:r>
        <w:rPr>
          <w:rFonts w:hint="eastAsia" w:ascii="宋体" w:hAnsi="宋体" w:eastAsia="宋体" w:cs="宋体"/>
        </w:rPr>
        <w:t>中所提及的要求和供货范围都是最基本的要求，并未对一切技术细节做出规定，也未充分阐述有关标准和规范的条文，</w:t>
      </w:r>
      <w:r>
        <w:rPr>
          <w:rFonts w:hint="eastAsia" w:ascii="宋体" w:hAnsi="宋体" w:eastAsia="宋体" w:cs="宋体"/>
          <w:lang w:eastAsia="zh-CN"/>
        </w:rPr>
        <w:t>乙</w:t>
      </w:r>
      <w:r>
        <w:rPr>
          <w:rFonts w:hint="eastAsia" w:ascii="宋体" w:hAnsi="宋体" w:eastAsia="宋体" w:cs="宋体"/>
        </w:rPr>
        <w:t>方应保证提供符合本技术</w:t>
      </w:r>
      <w:r>
        <w:rPr>
          <w:rFonts w:hint="eastAsia" w:ascii="宋体" w:hAnsi="宋体" w:eastAsia="宋体" w:cs="宋体"/>
          <w:lang w:eastAsia="zh-CN"/>
        </w:rPr>
        <w:t>协议</w:t>
      </w:r>
      <w:r>
        <w:rPr>
          <w:rFonts w:hint="eastAsia" w:ascii="宋体" w:hAnsi="宋体" w:eastAsia="宋体" w:cs="宋体"/>
        </w:rPr>
        <w:t>和相关标准的功能齐全的优质产品。</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1.3 从签订合同之后至</w:t>
      </w:r>
      <w:r>
        <w:rPr>
          <w:rFonts w:hint="eastAsia" w:ascii="宋体" w:hAnsi="宋体" w:eastAsia="宋体" w:cs="宋体"/>
          <w:lang w:eastAsia="zh-CN"/>
        </w:rPr>
        <w:t>乙</w:t>
      </w:r>
      <w:r>
        <w:rPr>
          <w:rFonts w:hint="eastAsia" w:ascii="宋体" w:hAnsi="宋体" w:eastAsia="宋体" w:cs="宋体"/>
        </w:rPr>
        <w:t>方开始制造之日的这段时期内，</w:t>
      </w:r>
      <w:r>
        <w:rPr>
          <w:rFonts w:hint="eastAsia" w:ascii="宋体" w:hAnsi="宋体" w:eastAsia="宋体" w:cs="宋体"/>
          <w:lang w:eastAsia="zh-CN"/>
        </w:rPr>
        <w:t>甲</w:t>
      </w:r>
      <w:r>
        <w:rPr>
          <w:rFonts w:hint="eastAsia" w:ascii="宋体" w:hAnsi="宋体" w:eastAsia="宋体" w:cs="宋体"/>
        </w:rPr>
        <w:t>方有权提出因规程、规范和标准发生变化而产生的一些补充修改要求，</w:t>
      </w:r>
      <w:r>
        <w:rPr>
          <w:rFonts w:hint="eastAsia" w:ascii="宋体" w:hAnsi="宋体" w:eastAsia="宋体" w:cs="宋体"/>
          <w:lang w:eastAsia="zh-CN"/>
        </w:rPr>
        <w:t>乙</w:t>
      </w:r>
      <w:r>
        <w:rPr>
          <w:rFonts w:hint="eastAsia" w:ascii="宋体" w:hAnsi="宋体" w:eastAsia="宋体" w:cs="宋体"/>
        </w:rPr>
        <w:t>方应遵守这些要求，并不发生费用变化。</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 xml:space="preserve">1.4 </w:t>
      </w:r>
      <w:r>
        <w:rPr>
          <w:rFonts w:hint="eastAsia" w:ascii="宋体" w:hAnsi="宋体" w:eastAsia="宋体" w:cs="宋体"/>
          <w:lang w:eastAsia="zh-CN"/>
        </w:rPr>
        <w:t>乙</w:t>
      </w:r>
      <w:r>
        <w:rPr>
          <w:rFonts w:hint="eastAsia" w:ascii="宋体" w:hAnsi="宋体" w:eastAsia="宋体" w:cs="宋体"/>
        </w:rPr>
        <w:t>方须执行本技术</w:t>
      </w:r>
      <w:r>
        <w:rPr>
          <w:rFonts w:hint="eastAsia" w:ascii="宋体" w:hAnsi="宋体" w:eastAsia="宋体" w:cs="宋体"/>
          <w:lang w:eastAsia="zh-CN"/>
        </w:rPr>
        <w:t>协议</w:t>
      </w:r>
      <w:r>
        <w:rPr>
          <w:rFonts w:hint="eastAsia" w:ascii="宋体" w:hAnsi="宋体" w:eastAsia="宋体" w:cs="宋体"/>
        </w:rPr>
        <w:t>所列标准。本技术</w:t>
      </w:r>
      <w:r>
        <w:rPr>
          <w:rFonts w:hint="eastAsia" w:ascii="宋体" w:hAnsi="宋体" w:eastAsia="宋体" w:cs="宋体"/>
          <w:lang w:eastAsia="zh-CN"/>
        </w:rPr>
        <w:t>协议</w:t>
      </w:r>
      <w:r>
        <w:rPr>
          <w:rFonts w:hint="eastAsia" w:ascii="宋体" w:hAnsi="宋体" w:eastAsia="宋体" w:cs="宋体"/>
        </w:rPr>
        <w:t>未提及的内容均应满足或优于本</w:t>
      </w:r>
      <w:r>
        <w:rPr>
          <w:rFonts w:hint="eastAsia" w:ascii="宋体" w:hAnsi="宋体" w:eastAsia="宋体" w:cs="宋体"/>
          <w:lang w:eastAsia="zh-CN"/>
        </w:rPr>
        <w:t>协议</w:t>
      </w:r>
      <w:r>
        <w:rPr>
          <w:rFonts w:hint="eastAsia" w:ascii="宋体" w:hAnsi="宋体" w:eastAsia="宋体" w:cs="宋体"/>
        </w:rPr>
        <w:t>所列的国家标准、国际标准、国家电力行业标准和技术支持方所采用的有关标准。如有矛盾时，按较高标准执行。</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1.5</w:t>
      </w:r>
      <w:r>
        <w:rPr>
          <w:rFonts w:hint="eastAsia" w:ascii="宋体" w:hAnsi="宋体" w:eastAsia="宋体" w:cs="宋体"/>
        </w:rPr>
        <w:t>本项目涉及到的</w:t>
      </w:r>
      <w:r>
        <w:rPr>
          <w:rFonts w:hint="eastAsia" w:ascii="宋体" w:hAnsi="宋体" w:eastAsia="宋体" w:cs="宋体"/>
          <w:lang w:eastAsia="zh-CN"/>
        </w:rPr>
        <w:t>知识产权</w:t>
      </w:r>
      <w:r>
        <w:rPr>
          <w:rFonts w:hint="eastAsia" w:ascii="宋体" w:hAnsi="宋体" w:eastAsia="宋体" w:cs="宋体"/>
        </w:rPr>
        <w:t>费用均已包含在报价中</w:t>
      </w:r>
      <w:r>
        <w:rPr>
          <w:rFonts w:hint="eastAsia" w:ascii="宋体" w:hAnsi="宋体" w:eastAsia="宋体" w:cs="宋体"/>
          <w:lang w:val="en-US" w:eastAsia="zh-CN"/>
        </w:rPr>
        <w:t>，因知识产权产生的纠纷由乙方自行承担或解决，甲方不承担相应责任。</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6</w:t>
      </w:r>
      <w:r>
        <w:rPr>
          <w:rFonts w:hint="eastAsia" w:ascii="宋体" w:hAnsi="宋体" w:eastAsia="宋体" w:cs="宋体"/>
        </w:rPr>
        <w:t xml:space="preserve"> </w:t>
      </w:r>
      <w:r>
        <w:rPr>
          <w:rFonts w:hint="eastAsia" w:ascii="宋体" w:hAnsi="宋体" w:eastAsia="宋体" w:cs="宋体"/>
          <w:lang w:eastAsia="zh-CN"/>
        </w:rPr>
        <w:t>乙</w:t>
      </w:r>
      <w:r>
        <w:rPr>
          <w:rFonts w:hint="eastAsia" w:ascii="宋体" w:hAnsi="宋体" w:eastAsia="宋体" w:cs="宋体"/>
        </w:rPr>
        <w:t>方提供的设备、材料及零部件不应包含对人体有害的物质。</w:t>
      </w:r>
    </w:p>
    <w:p>
      <w:pPr>
        <w:adjustRightInd w:val="0"/>
        <w:snapToGrid w:val="0"/>
        <w:spacing w:line="360" w:lineRule="auto"/>
        <w:ind w:left="560" w:firstLine="480"/>
        <w:rPr>
          <w:rFonts w:hint="default" w:ascii="宋体" w:hAnsi="宋体" w:eastAsia="宋体" w:cs="宋体"/>
          <w:lang w:val="en-US"/>
        </w:rPr>
      </w:pPr>
      <w:r>
        <w:rPr>
          <w:rFonts w:hint="eastAsia" w:ascii="宋体" w:hAnsi="宋体" w:eastAsia="宋体" w:cs="宋体"/>
          <w:lang w:val="en-US" w:eastAsia="zh-CN"/>
        </w:rPr>
        <w:t>1.7</w:t>
      </w:r>
      <w:r>
        <w:rPr>
          <w:rFonts w:hint="eastAsia" w:ascii="宋体" w:hAnsi="宋体" w:eastAsia="宋体" w:cs="宋体"/>
          <w:lang w:eastAsia="zh-CN"/>
        </w:rPr>
        <w:t>乙</w:t>
      </w:r>
      <w:r>
        <w:rPr>
          <w:rFonts w:hint="eastAsia" w:ascii="宋体" w:hAnsi="宋体" w:eastAsia="宋体" w:cs="宋体"/>
        </w:rPr>
        <w:t>方应提供高质量的设备。这些设备必须是技术先进、并经过三年以上成功运行实践证明是成熟可靠的产品</w:t>
      </w:r>
      <w:r>
        <w:rPr>
          <w:rFonts w:hint="eastAsia" w:ascii="宋体" w:hAnsi="宋体" w:eastAsia="宋体" w:cs="宋体"/>
          <w:lang w:eastAsia="zh-CN"/>
        </w:rPr>
        <w:t>；</w:t>
      </w:r>
      <w:r>
        <w:rPr>
          <w:rFonts w:hint="eastAsia" w:ascii="宋体" w:hAnsi="宋体" w:eastAsia="宋体" w:cs="宋体"/>
          <w:lang w:val="en-US" w:eastAsia="zh-CN"/>
        </w:rPr>
        <w:t>并均需满足国产自主可控要求。</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8</w:t>
      </w:r>
      <w:r>
        <w:rPr>
          <w:rFonts w:hint="eastAsia" w:ascii="宋体" w:hAnsi="宋体" w:eastAsia="宋体" w:cs="宋体"/>
        </w:rPr>
        <w:t xml:space="preserve"> 本技术</w:t>
      </w:r>
      <w:r>
        <w:rPr>
          <w:rFonts w:hint="eastAsia" w:ascii="宋体" w:hAnsi="宋体" w:eastAsia="宋体" w:cs="宋体"/>
          <w:lang w:eastAsia="zh-CN"/>
        </w:rPr>
        <w:t>协议</w:t>
      </w:r>
      <w:r>
        <w:rPr>
          <w:rFonts w:hint="eastAsia" w:ascii="宋体" w:hAnsi="宋体" w:eastAsia="宋体" w:cs="宋体"/>
        </w:rPr>
        <w:t>作为合同的</w:t>
      </w:r>
      <w:r>
        <w:rPr>
          <w:rFonts w:hint="eastAsia" w:ascii="宋体" w:hAnsi="宋体" w:eastAsia="宋体" w:cs="宋体"/>
          <w:lang w:eastAsia="zh-CN"/>
        </w:rPr>
        <w:t>组成</w:t>
      </w:r>
      <w:r>
        <w:rPr>
          <w:rFonts w:hint="eastAsia" w:ascii="宋体" w:hAnsi="宋体" w:eastAsia="宋体" w:cs="宋体"/>
        </w:rPr>
        <w:t>，与合同具有同等法律效力。</w:t>
      </w:r>
    </w:p>
    <w:p>
      <w:pPr>
        <w:adjustRightInd w:val="0"/>
        <w:snapToGrid w:val="0"/>
        <w:spacing w:line="360" w:lineRule="auto"/>
        <w:ind w:left="560" w:leftChars="0" w:firstLine="480" w:firstLineChars="0"/>
        <w:outlineLvl w:val="0"/>
        <w:rPr>
          <w:rFonts w:hint="eastAsia" w:ascii="宋体" w:hAnsi="宋体" w:eastAsia="宋体" w:cs="宋体"/>
          <w:b/>
          <w:bCs/>
        </w:rPr>
      </w:pPr>
      <w:r>
        <w:rPr>
          <w:rFonts w:hint="eastAsia" w:ascii="宋体" w:hAnsi="宋体" w:eastAsia="宋体" w:cs="宋体"/>
          <w:b/>
          <w:bCs/>
        </w:rPr>
        <w:t>二、</w:t>
      </w:r>
      <w:r>
        <w:rPr>
          <w:rFonts w:hint="eastAsia" w:ascii="宋体" w:hAnsi="宋体" w:eastAsia="宋体" w:cs="宋体"/>
          <w:b/>
          <w:bCs/>
          <w:lang w:val="en-US" w:eastAsia="zh-CN"/>
        </w:rPr>
        <w:t>项目</w:t>
      </w:r>
      <w:r>
        <w:rPr>
          <w:rFonts w:hint="eastAsia" w:ascii="宋体" w:hAnsi="宋体" w:eastAsia="宋体" w:cs="宋体"/>
          <w:b/>
          <w:bCs/>
        </w:rPr>
        <w:t>概况</w:t>
      </w:r>
      <w:bookmarkEnd w:id="13"/>
    </w:p>
    <w:p>
      <w:pPr>
        <w:adjustRightInd w:val="0"/>
        <w:snapToGrid w:val="0"/>
        <w:spacing w:line="360" w:lineRule="auto"/>
        <w:ind w:left="560" w:firstLine="480"/>
        <w:rPr>
          <w:rFonts w:hint="eastAsia" w:ascii="宋体" w:hAnsi="宋体" w:eastAsia="宋体" w:cs="宋体"/>
        </w:rPr>
      </w:pPr>
      <w:bookmarkStart w:id="14" w:name="_Toc232586123"/>
      <w:bookmarkStart w:id="15" w:name="_Toc232564145"/>
      <w:bookmarkStart w:id="16" w:name="_Toc231797904"/>
      <w:bookmarkStart w:id="17" w:name="_Toc232577315"/>
      <w:r>
        <w:rPr>
          <w:rFonts w:hint="eastAsia" w:ascii="宋体" w:hAnsi="宋体" w:eastAsia="宋体" w:cs="宋体"/>
        </w:rPr>
        <w:t>宁夏中宁发电有限责任公司</w:t>
      </w:r>
      <w:bookmarkEnd w:id="14"/>
      <w:bookmarkEnd w:id="15"/>
      <w:bookmarkEnd w:id="16"/>
      <w:bookmarkEnd w:id="17"/>
      <w:r>
        <w:rPr>
          <w:rFonts w:hint="eastAsia" w:ascii="宋体" w:hAnsi="宋体" w:eastAsia="宋体" w:cs="宋体"/>
          <w:lang w:val="en-US" w:eastAsia="zh-CN"/>
        </w:rPr>
        <w:t>为进一步提高信息系统的网络安全保障水平，提升整体网络安全防护能力，加强二次安防系统加固。</w:t>
      </w:r>
      <w:r>
        <w:rPr>
          <w:rFonts w:hint="eastAsia" w:ascii="宋体" w:hAnsi="宋体" w:eastAsia="宋体" w:cs="宋体"/>
        </w:rPr>
        <w:t>按照《电力监控系统安全防护总体方案》（国家能源局国能安全〔2015〕36号）附件4中5.7恶意代码防范中：“应当及时更新特征码，查看查杀记录。恶意代码更新文件的安装应该经过测试”</w:t>
      </w:r>
      <w:r>
        <w:rPr>
          <w:rFonts w:hint="eastAsia" w:ascii="宋体" w:hAnsi="宋体" w:eastAsia="宋体" w:cs="宋体"/>
          <w:lang w:eastAsia="zh-CN"/>
        </w:rPr>
        <w:t>。</w:t>
      </w:r>
      <w:r>
        <w:rPr>
          <w:rFonts w:hint="eastAsia" w:ascii="宋体" w:hAnsi="宋体" w:eastAsia="宋体" w:cs="宋体"/>
        </w:rPr>
        <w:t>2020年7月，国网公司发布《电力监控系统恶意代码监测系统技术规范（试行）》，5.2.2 厂站机构明确规定：“应在业务网关机、AVC、故障录波等主机部署防恶意代码客户端软件，并接受主站端防恶意代码客户端管理模块的管控”</w:t>
      </w:r>
      <w:r>
        <w:rPr>
          <w:rFonts w:hint="eastAsia" w:ascii="宋体" w:hAnsi="宋体" w:eastAsia="宋体" w:cs="宋体"/>
          <w:lang w:eastAsia="zh-CN"/>
        </w:rPr>
        <w:t>。</w:t>
      </w:r>
      <w:r>
        <w:rPr>
          <w:rFonts w:hint="eastAsia" w:ascii="宋体" w:hAnsi="宋体" w:eastAsia="宋体" w:cs="宋体"/>
        </w:rPr>
        <w:t>国网宁夏电力调度控制中心在2022年8月1日发布的《宁夏电力调度控制中心关于做好2023年电力监控系统网络安全储备工作的通知》中 第二项、储备重点，第3条：提升恶意代码防范水平要求“2023年各并网电厂及大用户全面完成恶意代码部署”。</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按照《电力监控系统安全防护总体方案》（国家能源局国能安全〔2015〕36号）附件4中5.1入侵检测中：生产控制大区可以统一部署一套网络入侵检测系统，应当合理设置检测规则，检测发现隐藏于流经网络边界正常信息流中的入侵行为，分析潜在威胁并进行安全审计。按照《电力监控系统安全防护总体方案》（国家能源局国能安全〔2015〕36号）附件4中5.4安全审计中：生产控制大区的监控系统应当具备安全审计功能，能够对操作系统、数据库、业务应用的重要操作进行记录、分析,及时发现各种违规行为以及病毒和黑客的攻击行为。对于远程用户登录到本地系统中的操作行为，应该进行严格的安全审计。可以采用安全审计功能，对网络运行日志、操作系统运行日志、数据库访问日志、业务应用系统运行日志、安全设施运行日志等进行集中收集、自动分析。</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按照《等级保护2.0》中明确要求：应关闭或拆除控制设备的软盘驱动、光盘驱动、 USB接口、串行口等，确需保留的必须通过相关的技术措施实施严格的监控管理。按照《电力监控系统安全防护总体方案》（国家能源局国能安全〔2015〕36号）附件4中5.2主机加固：发电厂厂级信息监控系统等关键应用系统的主服务器，以及网络边界处的通信网关机、Web服务器等，应当使用安全加固的操作系统。加固方式包括:安全配置、安全补丁、采用专用软件强化操作系统访问控制能力以及配置安全的应用程序，其中配置的更改和补丁的安装应当经过测试。</w:t>
      </w:r>
    </w:p>
    <w:p>
      <w:pPr>
        <w:adjustRightInd w:val="0"/>
        <w:snapToGrid w:val="0"/>
        <w:spacing w:line="360" w:lineRule="auto"/>
        <w:ind w:left="560" w:firstLine="480"/>
        <w:rPr>
          <w:rFonts w:hint="eastAsia" w:ascii="宋体" w:hAnsi="宋体" w:eastAsia="宋体" w:cs="宋体"/>
          <w:color w:val="0000FF"/>
        </w:rPr>
      </w:pPr>
      <w:r>
        <w:rPr>
          <w:rFonts w:hint="eastAsia" w:ascii="宋体" w:hAnsi="宋体" w:eastAsia="宋体" w:cs="宋体"/>
          <w:color w:val="0000FF"/>
          <w:lang w:val="en-US" w:eastAsia="zh-CN"/>
        </w:rPr>
        <w:t>目前站内在用南瑞继保PCS9895型Ⅱ型网络安全监测装置，现已出现授权过期问题</w:t>
      </w:r>
      <w:r>
        <w:rPr>
          <w:rFonts w:hint="eastAsia" w:ascii="宋体" w:hAnsi="宋体" w:eastAsia="宋体" w:cs="宋体"/>
          <w:lang w:val="en-US" w:eastAsia="zh-CN"/>
        </w:rPr>
        <w:t>，且设备不</w:t>
      </w:r>
      <w:r>
        <w:rPr>
          <w:rFonts w:hint="eastAsia" w:ascii="宋体" w:hAnsi="宋体" w:eastAsia="宋体" w:cs="宋体"/>
          <w:color w:val="0000FF"/>
          <w:lang w:val="en-US" w:eastAsia="zh-CN"/>
        </w:rPr>
        <w:t>满足调度规范要求的版本校验功能，致使现场新增设备资产无法正常接入，达不到调度提出的安全监测资产应接尽接管控要求。现计划将站内两套该型号监测装置统一更换为授权状态正常、兼容版本校验功</w:t>
      </w:r>
      <w:bookmarkStart w:id="366" w:name="_GoBack"/>
      <w:bookmarkEnd w:id="366"/>
      <w:r>
        <w:rPr>
          <w:rFonts w:hint="eastAsia" w:ascii="宋体" w:hAnsi="宋体" w:eastAsia="宋体" w:cs="宋体"/>
          <w:color w:val="0000FF"/>
          <w:lang w:val="en-US" w:eastAsia="zh-CN"/>
        </w:rPr>
        <w:t>能、符合国产自主可控要求的Ⅱ型网络安全监测装置。为实现与调度端北京科东网络安全管理主站平台高效无缝对接，同时简化后期设备运维、升级及故障处置工作，确定更换为北京科东PSSEM-5000S型Ⅱ型网络安全监测装置。</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highlight w:val="none"/>
          <w:lang w:val="en-US" w:eastAsia="zh-CN"/>
        </w:rPr>
        <w:t>本次项目为新装置投入，</w:t>
      </w:r>
      <w:r>
        <w:rPr>
          <w:rFonts w:hint="eastAsia" w:ascii="宋体" w:hAnsi="宋体" w:eastAsia="宋体" w:cs="宋体"/>
          <w:sz w:val="21"/>
          <w:szCs w:val="22"/>
        </w:rPr>
        <w:t>加装恶意代码防护系统、入侵检测系统、日志审计系统及USB安全隔离装置；完成站内电力监控系统服务器、工作站操作系统安全加固作业</w:t>
      </w:r>
      <w:r>
        <w:rPr>
          <w:rFonts w:hint="eastAsia" w:ascii="宋体" w:hAnsi="宋体" w:eastAsia="宋体" w:cs="宋体"/>
          <w:sz w:val="21"/>
          <w:szCs w:val="22"/>
          <w:lang w:eastAsia="zh-CN"/>
        </w:rPr>
        <w:t>；</w:t>
      </w:r>
      <w:r>
        <w:rPr>
          <w:rFonts w:hint="eastAsia" w:ascii="宋体" w:hAnsi="宋体" w:eastAsia="宋体" w:cs="宋体"/>
          <w:sz w:val="21"/>
          <w:szCs w:val="22"/>
        </w:rPr>
        <w:t>替换原有老旧网络安全监测装置；新增一套二次安防专用屏柜，将所有新增安防类设备统一规整安装至该屏柜内，实现设备集中布设、规范管控</w:t>
      </w:r>
      <w:r>
        <w:rPr>
          <w:rFonts w:hint="eastAsia" w:ascii="宋体" w:hAnsi="宋体" w:eastAsia="宋体" w:cs="宋体"/>
        </w:rPr>
        <w:t>。</w:t>
      </w:r>
    </w:p>
    <w:p>
      <w:pPr>
        <w:adjustRightInd w:val="0"/>
        <w:snapToGrid w:val="0"/>
        <w:spacing w:line="360" w:lineRule="auto"/>
        <w:ind w:left="560" w:firstLine="480"/>
        <w:outlineLvl w:val="0"/>
        <w:rPr>
          <w:rFonts w:hint="eastAsia" w:ascii="宋体" w:hAnsi="宋体" w:eastAsia="宋体" w:cs="宋体"/>
          <w:b/>
          <w:bCs/>
        </w:rPr>
      </w:pPr>
      <w:bookmarkStart w:id="18" w:name="_Toc23169"/>
      <w:r>
        <w:rPr>
          <w:rFonts w:hint="eastAsia" w:ascii="宋体" w:hAnsi="宋体" w:eastAsia="宋体" w:cs="宋体"/>
          <w:b/>
          <w:bCs/>
        </w:rPr>
        <w:t>三、实现目的</w:t>
      </w:r>
      <w:bookmarkEnd w:id="18"/>
    </w:p>
    <w:p>
      <w:pPr>
        <w:adjustRightInd w:val="0"/>
        <w:snapToGrid w:val="0"/>
        <w:spacing w:line="360" w:lineRule="auto"/>
        <w:ind w:left="560" w:firstLine="480"/>
        <w:rPr>
          <w:rFonts w:hint="eastAsia" w:ascii="宋体" w:hAnsi="宋体" w:eastAsia="宋体" w:cs="宋体"/>
          <w:color w:val="0000FF"/>
          <w:lang w:eastAsia="zh-CN"/>
        </w:rPr>
      </w:pPr>
      <w:bookmarkStart w:id="19" w:name="_Toc9662"/>
      <w:r>
        <w:rPr>
          <w:rFonts w:hint="eastAsia" w:ascii="宋体" w:hAnsi="宋体" w:eastAsia="宋体" w:cs="宋体"/>
          <w:color w:val="0000FF"/>
        </w:rPr>
        <w:t>目前电力监控系统安全形势较为严峻，通过监管机构的抽检和调度机构的动态技术监督检查，暴露出较多网络安全问题。宁夏中宁发电有限责任公司</w:t>
      </w:r>
      <w:r>
        <w:rPr>
          <w:rFonts w:hint="eastAsia" w:ascii="宋体" w:hAnsi="宋体" w:eastAsia="宋体" w:cs="宋体"/>
          <w:color w:val="0000FF"/>
          <w:lang w:val="en-US" w:eastAsia="zh-CN"/>
        </w:rPr>
        <w:t>为满足宁夏电力调度下发通知要求、等保测评及二次安防要求，</w:t>
      </w:r>
      <w:r>
        <w:rPr>
          <w:rFonts w:hint="eastAsia" w:ascii="宋体" w:hAnsi="宋体" w:eastAsia="宋体" w:cs="宋体"/>
          <w:color w:val="0000FF"/>
        </w:rPr>
        <w:t>提升电力监控系统恶意代码防护、入侵检测防护、安全审计、USB隔离防护水平、主机系统安全防护水平</w:t>
      </w:r>
      <w:r>
        <w:rPr>
          <w:rFonts w:hint="eastAsia" w:ascii="宋体" w:hAnsi="宋体" w:eastAsia="宋体" w:cs="宋体"/>
          <w:color w:val="0000FF"/>
          <w:lang w:eastAsia="zh-CN"/>
        </w:rPr>
        <w:t>。</w:t>
      </w:r>
    </w:p>
    <w:p>
      <w:pPr>
        <w:adjustRightInd w:val="0"/>
        <w:snapToGrid w:val="0"/>
        <w:spacing w:line="360" w:lineRule="auto"/>
        <w:ind w:left="560" w:firstLine="480"/>
        <w:outlineLvl w:val="0"/>
        <w:rPr>
          <w:rFonts w:hint="eastAsia" w:ascii="宋体" w:hAnsi="宋体" w:eastAsia="宋体" w:cs="宋体"/>
          <w:b/>
          <w:bCs/>
        </w:rPr>
      </w:pPr>
      <w:r>
        <w:rPr>
          <w:rFonts w:hint="eastAsia" w:ascii="宋体" w:hAnsi="宋体" w:eastAsia="宋体" w:cs="宋体"/>
          <w:b/>
          <w:bCs/>
        </w:rPr>
        <w:t>四、</w:t>
      </w:r>
      <w:bookmarkEnd w:id="19"/>
      <w:r>
        <w:rPr>
          <w:rFonts w:hint="eastAsia" w:ascii="宋体" w:hAnsi="宋体" w:eastAsia="宋体" w:cs="宋体"/>
          <w:b/>
          <w:bCs/>
        </w:rPr>
        <w:t>应遵循的主要现行标准</w:t>
      </w:r>
    </w:p>
    <w:p>
      <w:pPr>
        <w:adjustRightInd w:val="0"/>
        <w:snapToGrid w:val="0"/>
        <w:spacing w:line="360" w:lineRule="auto"/>
        <w:ind w:left="560" w:firstLine="480"/>
        <w:rPr>
          <w:rFonts w:hint="eastAsia" w:ascii="宋体" w:hAnsi="宋体" w:eastAsia="宋体" w:cs="宋体"/>
          <w:lang w:val="en-US" w:eastAsia="zh-CN"/>
        </w:rPr>
      </w:pPr>
      <w:bookmarkStart w:id="20" w:name="_Toc7517"/>
      <w:r>
        <w:rPr>
          <w:rFonts w:hint="eastAsia" w:ascii="宋体" w:hAnsi="宋体" w:eastAsia="宋体" w:cs="宋体"/>
          <w:lang w:val="en-US" w:eastAsia="zh-CN"/>
        </w:rPr>
        <w:t>4.1本项目所适用的</w:t>
      </w:r>
      <w:r>
        <w:rPr>
          <w:rFonts w:hint="eastAsia" w:ascii="宋体" w:hAnsi="宋体" w:eastAsia="宋体" w:cs="宋体"/>
        </w:rPr>
        <w:t>法律、</w:t>
      </w:r>
      <w:r>
        <w:rPr>
          <w:rFonts w:hint="eastAsia" w:ascii="宋体" w:hAnsi="宋体" w:eastAsia="宋体" w:cs="宋体"/>
          <w:lang w:val="en-US" w:eastAsia="zh-CN"/>
        </w:rPr>
        <w:t>标准和规范（包括但不限于）：</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《电子信息系统机房设计规范》(GB50174-2008)</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《计算机场地安全要求》(GB/T 9361-1988)</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《计算站场地技术要求》 （GB2887-2000）</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《安全防范工程程序与要求》 （GA/T75-94）</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《电子信息系统机房施工及验收规范》(GB50462-2008)</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rPr>
        <w:t>民用建筑电气设计规范》 （JGJ16--2008）</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《电气装置安装工程接地装置施工及验收规范》 （GB 50169-2006）</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《智能建筑设计标准》 （GB/T 50314-2006）</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《工业企业通信接地设计规范》 （GBJ79-85）</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《通风与空调工程施工质量验收规范》 （GB 50243-2002）</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《建筑数据中心工程设计标准》(DB32/181-1998)</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《建筑数据中心工程实施及验收规范》(DB32/366-1999)</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《产品制造商的产品手册、设计规范、施工安装指南》</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《电力监控系统安全防护总体方案》（国家能源局国能安全〔2015〕36号）</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《电力监控系统恶意代码监测系统技术规范（试行）》</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《宁夏电力调度控制中心关于做好2023年电力监控系统网络安全储备工作的通知》</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《宁夏电力调度控制中心</w:t>
      </w:r>
      <w:r>
        <w:rPr>
          <w:rFonts w:hint="eastAsia" w:ascii="宋体" w:hAnsi="宋体" w:eastAsia="宋体" w:cs="宋体"/>
          <w:lang w:val="en-US" w:eastAsia="zh-CN"/>
        </w:rPr>
        <w:t>关于防恶意代码系统厂站、变电站</w:t>
      </w:r>
      <w:r>
        <w:rPr>
          <w:rFonts w:hint="default" w:ascii="宋体" w:hAnsi="宋体" w:eastAsia="宋体" w:cs="宋体"/>
          <w:lang w:val="en-US" w:eastAsia="zh-CN"/>
        </w:rPr>
        <w:t>接站标准及要求</w:t>
      </w:r>
      <w:r>
        <w:rPr>
          <w:rFonts w:hint="eastAsia" w:ascii="宋体" w:hAnsi="宋体" w:eastAsia="宋体" w:cs="宋体"/>
        </w:rPr>
        <w:t>》</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《网络安全等级保护基本要求》（GB/T 22239-2019）</w:t>
      </w:r>
    </w:p>
    <w:p>
      <w:pPr>
        <w:adjustRightInd w:val="0"/>
        <w:snapToGrid w:val="0"/>
        <w:spacing w:line="360" w:lineRule="auto"/>
        <w:ind w:left="560" w:firstLine="480"/>
        <w:outlineLvl w:val="0"/>
        <w:rPr>
          <w:rFonts w:hint="eastAsia" w:ascii="宋体" w:hAnsi="宋体" w:eastAsia="宋体" w:cs="宋体"/>
          <w:b/>
          <w:bCs/>
        </w:rPr>
      </w:pPr>
      <w:r>
        <w:rPr>
          <w:rFonts w:hint="eastAsia" w:ascii="宋体" w:hAnsi="宋体" w:eastAsia="宋体" w:cs="宋体"/>
          <w:b/>
          <w:bCs/>
        </w:rPr>
        <w:t>五、装置技术要求</w:t>
      </w:r>
      <w:bookmarkEnd w:id="20"/>
    </w:p>
    <w:p>
      <w:pPr>
        <w:adjustRightInd w:val="0"/>
        <w:snapToGrid w:val="0"/>
        <w:spacing w:line="360" w:lineRule="auto"/>
        <w:ind w:left="560" w:firstLine="480"/>
        <w:outlineLvl w:val="1"/>
        <w:rPr>
          <w:rFonts w:hint="eastAsia" w:ascii="宋体" w:hAnsi="宋体" w:eastAsia="宋体" w:cs="宋体"/>
          <w:b/>
          <w:bCs/>
        </w:rPr>
      </w:pPr>
      <w:bookmarkStart w:id="21" w:name="_Toc5996"/>
      <w:bookmarkStart w:id="22" w:name="_Toc379724359"/>
      <w:bookmarkStart w:id="23" w:name="_Toc465976662"/>
      <w:r>
        <w:rPr>
          <w:rFonts w:hint="eastAsia" w:ascii="宋体" w:hAnsi="宋体" w:eastAsia="宋体" w:cs="宋体"/>
          <w:b/>
          <w:bCs/>
          <w:lang w:val="en-US" w:eastAsia="zh-CN"/>
        </w:rPr>
        <w:t>5.</w:t>
      </w:r>
      <w:r>
        <w:rPr>
          <w:rFonts w:hint="eastAsia" w:ascii="宋体" w:hAnsi="宋体" w:eastAsia="宋体" w:cs="宋体"/>
          <w:b/>
          <w:bCs/>
        </w:rPr>
        <w:t>1恶意代码</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恶意代码防护系统包含采购恶意代码防护系统：防恶意代码客户端管理模块、防恶意代码客户端，在安全</w:t>
      </w:r>
      <w:r>
        <w:rPr>
          <w:rFonts w:hint="eastAsia" w:ascii="宋体" w:hAnsi="宋体" w:eastAsia="宋体" w:cs="宋体"/>
          <w:lang w:eastAsia="zh-CN"/>
        </w:rPr>
        <w:t>Ⅰ</w:t>
      </w:r>
      <w:r>
        <w:rPr>
          <w:rFonts w:hint="eastAsia" w:ascii="宋体" w:hAnsi="宋体" w:eastAsia="宋体" w:cs="宋体"/>
        </w:rPr>
        <w:t>区、</w:t>
      </w:r>
      <w:r>
        <w:rPr>
          <w:rFonts w:hint="eastAsia" w:ascii="宋体" w:hAnsi="宋体" w:eastAsia="宋体" w:cs="宋体"/>
          <w:lang w:eastAsia="zh-CN"/>
        </w:rPr>
        <w:t>Ⅱ</w:t>
      </w:r>
      <w:r>
        <w:rPr>
          <w:rFonts w:hint="eastAsia" w:ascii="宋体" w:hAnsi="宋体" w:eastAsia="宋体" w:cs="宋体"/>
        </w:rPr>
        <w:t>区主机设备上安装的防恶意代码客户端，在安全</w:t>
      </w:r>
      <w:r>
        <w:rPr>
          <w:rFonts w:hint="eastAsia" w:ascii="宋体" w:hAnsi="宋体" w:eastAsia="宋体" w:cs="宋体"/>
          <w:lang w:eastAsia="zh-CN"/>
        </w:rPr>
        <w:t>Ⅱ</w:t>
      </w:r>
      <w:r>
        <w:rPr>
          <w:rFonts w:hint="eastAsia" w:ascii="宋体" w:hAnsi="宋体" w:eastAsia="宋体" w:cs="宋体"/>
        </w:rPr>
        <w:t>区安装防恶意代码客户端管理模块，在</w:t>
      </w:r>
      <w:r>
        <w:rPr>
          <w:rFonts w:hint="eastAsia" w:ascii="宋体" w:hAnsi="宋体" w:eastAsia="宋体" w:cs="宋体"/>
          <w:lang w:eastAsia="zh-CN"/>
        </w:rPr>
        <w:t>Ⅰ</w:t>
      </w:r>
      <w:r>
        <w:rPr>
          <w:rFonts w:hint="eastAsia" w:ascii="宋体" w:hAnsi="宋体" w:eastAsia="宋体" w:cs="宋体"/>
        </w:rPr>
        <w:t>/</w:t>
      </w:r>
      <w:r>
        <w:rPr>
          <w:rFonts w:hint="eastAsia" w:ascii="宋体" w:hAnsi="宋体" w:eastAsia="宋体" w:cs="宋体"/>
          <w:lang w:eastAsia="zh-CN"/>
        </w:rPr>
        <w:t>Ⅱ</w:t>
      </w:r>
      <w:r>
        <w:rPr>
          <w:rFonts w:hint="eastAsia" w:ascii="宋体" w:hAnsi="宋体" w:eastAsia="宋体" w:cs="宋体"/>
        </w:rPr>
        <w:t>区防火墙上添加防恶意代码客户端的管理策略，实现防恶意代码客户端管理模块对安全</w:t>
      </w:r>
      <w:r>
        <w:rPr>
          <w:rFonts w:hint="eastAsia" w:ascii="宋体" w:hAnsi="宋体" w:eastAsia="宋体" w:cs="宋体"/>
          <w:lang w:eastAsia="zh-CN"/>
        </w:rPr>
        <w:t>Ⅰ</w:t>
      </w:r>
      <w:r>
        <w:rPr>
          <w:rFonts w:hint="eastAsia" w:ascii="宋体" w:hAnsi="宋体" w:eastAsia="宋体" w:cs="宋体"/>
        </w:rPr>
        <w:t>区、</w:t>
      </w:r>
      <w:r>
        <w:rPr>
          <w:rFonts w:hint="eastAsia" w:ascii="宋体" w:hAnsi="宋体" w:eastAsia="宋体" w:cs="宋体"/>
          <w:lang w:eastAsia="zh-CN"/>
        </w:rPr>
        <w:t>Ⅱ</w:t>
      </w:r>
      <w:r>
        <w:rPr>
          <w:rFonts w:hint="eastAsia" w:ascii="宋体" w:hAnsi="宋体" w:eastAsia="宋体" w:cs="宋体"/>
        </w:rPr>
        <w:t>区内安装的防恶意代码客户端进行统一管控，并接受客户端的监测结果，防恶意代码客户端管理模块向上通过双平面非实时交换机接入调度主站恶意代码防护系统，接受主站防恶意代码客户端管理模块的统一管理和事件日志上报；</w:t>
      </w:r>
    </w:p>
    <w:p>
      <w:pPr>
        <w:adjustRightInd w:val="0"/>
        <w:snapToGrid w:val="0"/>
        <w:spacing w:line="360" w:lineRule="auto"/>
        <w:ind w:left="560" w:firstLine="480"/>
        <w:rPr>
          <w:rFonts w:hint="eastAsia" w:ascii="宋体" w:hAnsi="宋体" w:eastAsia="宋体" w:cs="宋体"/>
        </w:rPr>
      </w:pPr>
      <w:bookmarkStart w:id="24" w:name="_Toc54732874"/>
      <w:bookmarkStart w:id="25" w:name="_Toc54277936"/>
      <w:bookmarkStart w:id="26" w:name="_Toc4796"/>
      <w:r>
        <w:rPr>
          <w:rFonts w:hint="eastAsia" w:ascii="宋体" w:hAnsi="宋体" w:eastAsia="宋体" w:cs="宋体"/>
          <w:lang w:val="en-US" w:eastAsia="zh-CN"/>
        </w:rPr>
        <w:t>5.</w:t>
      </w:r>
      <w:r>
        <w:rPr>
          <w:rFonts w:hint="eastAsia" w:ascii="宋体" w:hAnsi="宋体" w:eastAsia="宋体" w:cs="宋体"/>
        </w:rPr>
        <w:t>1.1防恶意代码客户端功能要求</w:t>
      </w:r>
      <w:bookmarkEnd w:id="24"/>
      <w:bookmarkEnd w:id="25"/>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（1）客户端支持类型</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应支持适配Windows、Linux和凝思、麒麟等电力监控系统常用的主机操作系统。</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（2）客户端监测功能</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客户端监测功能应满足如下要求：</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应支持主动监测恶意代码，手动和自动处置查杀的功能；</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应支持特征码检测技术，实现已知恶意代码的查杀；</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应支持行为判断分析技术，实现未知恶意代码的查杀；</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应具备针对主机系统内核、文件、网络等多点监测功能，识别病毒、木马、蠕虫等恶意代码的行为并准确分类；</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应具备按需配置扫描进程对主机资源占用率的功能；</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应支持开机自启动功能；</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宜具备声、光、弹窗等告警提醒功能；</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非Windows操作系统下客户端应支持非root用户态下运行。</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（3）客户端处置功能</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客户端处置功能应满足如下要求：</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应具备处理结果以日志方式存储和上报功能；</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应具备对恶意代码的清除、隔离、信任以及还原等处置方式；</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恶意代码客户端处置功能应支持自动处置与手动处置，默认应为手动处置。</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（4）客户端管理功能</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客户端管理功能应满足如下要求：</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a)</w:t>
      </w:r>
      <w:r>
        <w:rPr>
          <w:rFonts w:hint="eastAsia" w:ascii="宋体" w:hAnsi="宋体" w:eastAsia="宋体" w:cs="宋体"/>
        </w:rPr>
        <w:tab/>
      </w:r>
      <w:r>
        <w:rPr>
          <w:rFonts w:hint="eastAsia" w:ascii="宋体" w:hAnsi="宋体" w:eastAsia="宋体" w:cs="宋体"/>
        </w:rPr>
        <w:t>应支持接受防恶意代码客户端管理模块的任务下发、集中配置、恶意代码特征库更新；</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b)</w:t>
      </w:r>
      <w:r>
        <w:rPr>
          <w:rFonts w:hint="eastAsia" w:ascii="宋体" w:hAnsi="宋体" w:eastAsia="宋体" w:cs="宋体"/>
        </w:rPr>
        <w:tab/>
      </w:r>
      <w:r>
        <w:rPr>
          <w:rFonts w:hint="eastAsia" w:ascii="宋体" w:hAnsi="宋体" w:eastAsia="宋体" w:cs="宋体"/>
        </w:rPr>
        <w:t>主机客户端恶意代码查杀引擎应自主可控。</w:t>
      </w:r>
    </w:p>
    <w:bookmarkEnd w:id="26"/>
    <w:p>
      <w:pPr>
        <w:adjustRightInd w:val="0"/>
        <w:snapToGrid w:val="0"/>
        <w:spacing w:line="360" w:lineRule="auto"/>
        <w:ind w:left="560" w:firstLine="480"/>
        <w:rPr>
          <w:rFonts w:hint="eastAsia" w:ascii="宋体" w:hAnsi="宋体" w:eastAsia="宋体" w:cs="宋体"/>
        </w:rPr>
      </w:pPr>
      <w:bookmarkStart w:id="27" w:name="_Toc47992251"/>
      <w:bookmarkEnd w:id="27"/>
      <w:bookmarkStart w:id="28" w:name="_Toc47992162"/>
      <w:bookmarkEnd w:id="28"/>
      <w:bookmarkStart w:id="29" w:name="_Toc47992046"/>
      <w:bookmarkEnd w:id="29"/>
      <w:bookmarkStart w:id="30" w:name="_Toc30099729"/>
      <w:bookmarkEnd w:id="30"/>
      <w:bookmarkStart w:id="31" w:name="_Toc47991970"/>
      <w:bookmarkEnd w:id="31"/>
      <w:bookmarkStart w:id="32" w:name="_Toc47992157"/>
      <w:bookmarkEnd w:id="32"/>
      <w:bookmarkStart w:id="33" w:name="_Toc28014478"/>
      <w:bookmarkEnd w:id="33"/>
      <w:bookmarkStart w:id="34" w:name="_Toc28014035"/>
      <w:bookmarkEnd w:id="34"/>
      <w:bookmarkStart w:id="35" w:name="_Toc28014054"/>
      <w:bookmarkEnd w:id="35"/>
      <w:bookmarkStart w:id="36" w:name="_Toc28014483"/>
      <w:bookmarkEnd w:id="36"/>
      <w:bookmarkStart w:id="37" w:name="_Toc47992252"/>
      <w:bookmarkEnd w:id="37"/>
      <w:bookmarkStart w:id="38" w:name="_Toc47992147"/>
      <w:bookmarkEnd w:id="38"/>
      <w:bookmarkStart w:id="39" w:name="_Toc47992052"/>
      <w:bookmarkEnd w:id="39"/>
      <w:bookmarkStart w:id="40" w:name="_Toc47992149"/>
      <w:bookmarkEnd w:id="40"/>
      <w:bookmarkStart w:id="41" w:name="_Toc30099734"/>
      <w:bookmarkEnd w:id="41"/>
      <w:bookmarkStart w:id="42" w:name="_Toc47992146"/>
      <w:bookmarkEnd w:id="42"/>
      <w:bookmarkStart w:id="43" w:name="_Toc47991881"/>
      <w:bookmarkEnd w:id="43"/>
      <w:bookmarkStart w:id="44" w:name="_Toc47991974"/>
      <w:bookmarkEnd w:id="44"/>
      <w:bookmarkStart w:id="45" w:name="_Toc47992233"/>
      <w:bookmarkEnd w:id="45"/>
      <w:bookmarkStart w:id="46" w:name="_Toc30099735"/>
      <w:bookmarkEnd w:id="46"/>
      <w:bookmarkStart w:id="47" w:name="_Toc47991978"/>
      <w:bookmarkEnd w:id="47"/>
      <w:bookmarkStart w:id="48" w:name="_Toc47992254"/>
      <w:bookmarkEnd w:id="48"/>
      <w:bookmarkStart w:id="49" w:name="_Toc47991865"/>
      <w:bookmarkEnd w:id="49"/>
      <w:bookmarkStart w:id="50" w:name="_Toc47991861"/>
      <w:bookmarkEnd w:id="50"/>
      <w:bookmarkStart w:id="51" w:name="_Toc47992235"/>
      <w:bookmarkEnd w:id="51"/>
      <w:bookmarkStart w:id="52" w:name="_Toc28014461"/>
      <w:bookmarkEnd w:id="52"/>
      <w:bookmarkStart w:id="53" w:name="_Toc30099720"/>
      <w:bookmarkEnd w:id="53"/>
      <w:bookmarkStart w:id="54" w:name="_Toc28014481"/>
      <w:bookmarkEnd w:id="54"/>
      <w:bookmarkStart w:id="55" w:name="_Toc47992144"/>
      <w:bookmarkEnd w:id="55"/>
      <w:bookmarkStart w:id="56" w:name="_Toc28014028"/>
      <w:bookmarkEnd w:id="56"/>
      <w:bookmarkStart w:id="57" w:name="_Toc47992231"/>
      <w:bookmarkEnd w:id="57"/>
      <w:bookmarkStart w:id="58" w:name="_Toc47991972"/>
      <w:bookmarkEnd w:id="58"/>
      <w:bookmarkStart w:id="59" w:name="_Toc31706181"/>
      <w:bookmarkEnd w:id="59"/>
      <w:bookmarkStart w:id="60" w:name="_Toc47992055"/>
      <w:bookmarkEnd w:id="60"/>
      <w:bookmarkStart w:id="61" w:name="_Toc47992248"/>
      <w:bookmarkEnd w:id="61"/>
      <w:bookmarkStart w:id="62" w:name="_Toc31707470"/>
      <w:bookmarkEnd w:id="62"/>
      <w:bookmarkStart w:id="63" w:name="_Toc47991863"/>
      <w:bookmarkEnd w:id="63"/>
      <w:bookmarkStart w:id="64" w:name="_Toc47991874"/>
      <w:bookmarkEnd w:id="64"/>
      <w:bookmarkStart w:id="65" w:name="_Toc47991975"/>
      <w:bookmarkEnd w:id="65"/>
      <w:bookmarkStart w:id="66" w:name="_Toc47992140"/>
      <w:bookmarkEnd w:id="66"/>
      <w:bookmarkStart w:id="67" w:name="_Toc47991877"/>
      <w:bookmarkEnd w:id="67"/>
      <w:bookmarkStart w:id="68" w:name="_Toc47991951"/>
      <w:bookmarkEnd w:id="68"/>
      <w:bookmarkStart w:id="69" w:name="_Toc47991870"/>
      <w:bookmarkEnd w:id="69"/>
      <w:bookmarkStart w:id="70" w:name="_Toc31706155"/>
      <w:bookmarkEnd w:id="70"/>
      <w:bookmarkStart w:id="71" w:name="_Toc28014482"/>
      <w:bookmarkEnd w:id="71"/>
      <w:bookmarkStart w:id="72" w:name="_Toc31707449"/>
      <w:bookmarkEnd w:id="72"/>
      <w:bookmarkStart w:id="73" w:name="_Toc31706171"/>
      <w:bookmarkEnd w:id="73"/>
      <w:bookmarkStart w:id="74" w:name="_Toc28014479"/>
      <w:bookmarkEnd w:id="74"/>
      <w:bookmarkStart w:id="75" w:name="_Toc30099725"/>
      <w:bookmarkEnd w:id="75"/>
      <w:bookmarkStart w:id="76" w:name="_Toc47991976"/>
      <w:bookmarkEnd w:id="76"/>
      <w:bookmarkStart w:id="77" w:name="_Toc31706160"/>
      <w:bookmarkEnd w:id="77"/>
      <w:bookmarkStart w:id="78" w:name="_Toc47992238"/>
      <w:bookmarkEnd w:id="78"/>
      <w:bookmarkStart w:id="79" w:name="_Toc31707457"/>
      <w:bookmarkEnd w:id="79"/>
      <w:bookmarkStart w:id="80" w:name="_Toc47992062"/>
      <w:bookmarkEnd w:id="80"/>
      <w:bookmarkStart w:id="81" w:name="_Toc47991961"/>
      <w:bookmarkEnd w:id="81"/>
      <w:bookmarkStart w:id="82" w:name="_Toc28014484"/>
      <w:bookmarkEnd w:id="82"/>
      <w:bookmarkStart w:id="83" w:name="_Toc47992066"/>
      <w:bookmarkEnd w:id="83"/>
      <w:bookmarkStart w:id="84" w:name="_Toc47991886"/>
      <w:bookmarkEnd w:id="84"/>
      <w:bookmarkStart w:id="85" w:name="_Toc28014488"/>
      <w:bookmarkEnd w:id="85"/>
      <w:bookmarkStart w:id="86" w:name="_Toc31707458"/>
      <w:bookmarkEnd w:id="86"/>
      <w:bookmarkStart w:id="87" w:name="_Toc47991878"/>
      <w:bookmarkEnd w:id="87"/>
      <w:bookmarkStart w:id="88" w:name="_Toc28014466"/>
      <w:bookmarkEnd w:id="88"/>
      <w:bookmarkStart w:id="89" w:name="_Toc31706170"/>
      <w:bookmarkEnd w:id="89"/>
      <w:bookmarkStart w:id="90" w:name="_Toc28014040"/>
      <w:bookmarkEnd w:id="90"/>
      <w:bookmarkStart w:id="91" w:name="_Toc28014026"/>
      <w:bookmarkEnd w:id="91"/>
      <w:bookmarkStart w:id="92" w:name="_Toc47991977"/>
      <w:bookmarkEnd w:id="92"/>
      <w:bookmarkStart w:id="93" w:name="_Toc47991949"/>
      <w:bookmarkEnd w:id="93"/>
      <w:bookmarkStart w:id="94" w:name="_Toc47992148"/>
      <w:bookmarkEnd w:id="94"/>
      <w:bookmarkStart w:id="95" w:name="_Toc47991869"/>
      <w:bookmarkEnd w:id="95"/>
      <w:bookmarkStart w:id="96" w:name="_Toc30099731"/>
      <w:bookmarkEnd w:id="96"/>
      <w:bookmarkStart w:id="97" w:name="_Toc47991876"/>
      <w:bookmarkEnd w:id="97"/>
      <w:bookmarkStart w:id="98" w:name="_Toc47992150"/>
      <w:bookmarkEnd w:id="98"/>
      <w:bookmarkStart w:id="99" w:name="_Toc47991968"/>
      <w:bookmarkEnd w:id="99"/>
      <w:bookmarkStart w:id="100" w:name="_Toc47992070"/>
      <w:bookmarkEnd w:id="100"/>
      <w:bookmarkStart w:id="101" w:name="_Toc28014033"/>
      <w:bookmarkEnd w:id="101"/>
      <w:bookmarkStart w:id="102" w:name="_Toc47991882"/>
      <w:bookmarkEnd w:id="102"/>
      <w:bookmarkStart w:id="103" w:name="_Toc47992256"/>
      <w:bookmarkEnd w:id="103"/>
      <w:bookmarkStart w:id="104" w:name="_Toc47992050"/>
      <w:bookmarkEnd w:id="104"/>
      <w:bookmarkStart w:id="105" w:name="_Toc47992240"/>
      <w:bookmarkEnd w:id="105"/>
      <w:bookmarkStart w:id="106" w:name="_Toc47992247"/>
      <w:bookmarkEnd w:id="106"/>
      <w:bookmarkStart w:id="107" w:name="_Toc31706175"/>
      <w:bookmarkEnd w:id="107"/>
      <w:bookmarkStart w:id="108" w:name="_Toc47991965"/>
      <w:bookmarkEnd w:id="108"/>
      <w:bookmarkStart w:id="109" w:name="_Toc28014050"/>
      <w:bookmarkEnd w:id="109"/>
      <w:bookmarkStart w:id="110" w:name="_Toc31707462"/>
      <w:bookmarkEnd w:id="110"/>
      <w:bookmarkStart w:id="111" w:name="_Toc31706176"/>
      <w:bookmarkEnd w:id="111"/>
      <w:bookmarkStart w:id="112" w:name="_Toc47992072"/>
      <w:bookmarkEnd w:id="112"/>
      <w:bookmarkStart w:id="113" w:name="_Toc28014043"/>
      <w:bookmarkEnd w:id="113"/>
      <w:bookmarkStart w:id="114" w:name="_Toc47992228"/>
      <w:bookmarkEnd w:id="114"/>
      <w:bookmarkStart w:id="115" w:name="_Toc28014476"/>
      <w:bookmarkEnd w:id="115"/>
      <w:bookmarkStart w:id="116" w:name="_Toc47992164"/>
      <w:bookmarkEnd w:id="116"/>
      <w:bookmarkStart w:id="117" w:name="_Toc47992245"/>
      <w:bookmarkEnd w:id="117"/>
      <w:bookmarkStart w:id="118" w:name="_Toc47991957"/>
      <w:bookmarkEnd w:id="118"/>
      <w:bookmarkStart w:id="119" w:name="_Toc31707453"/>
      <w:bookmarkEnd w:id="119"/>
      <w:bookmarkStart w:id="120" w:name="_Toc47991862"/>
      <w:bookmarkEnd w:id="120"/>
      <w:bookmarkStart w:id="121" w:name="_Toc31707452"/>
      <w:bookmarkEnd w:id="121"/>
      <w:bookmarkStart w:id="122" w:name="_Toc31706157"/>
      <w:bookmarkEnd w:id="122"/>
      <w:bookmarkStart w:id="123" w:name="_Toc47992167"/>
      <w:bookmarkEnd w:id="123"/>
      <w:bookmarkStart w:id="124" w:name="_Toc47992060"/>
      <w:bookmarkEnd w:id="124"/>
      <w:bookmarkStart w:id="125" w:name="_Toc47992236"/>
      <w:bookmarkEnd w:id="125"/>
      <w:bookmarkStart w:id="126" w:name="_Toc47992232"/>
      <w:bookmarkEnd w:id="126"/>
      <w:bookmarkStart w:id="127" w:name="_Toc47991966"/>
      <w:bookmarkEnd w:id="127"/>
      <w:bookmarkStart w:id="128" w:name="_Toc28014469"/>
      <w:bookmarkEnd w:id="128"/>
      <w:bookmarkStart w:id="129" w:name="_Toc47992255"/>
      <w:bookmarkEnd w:id="129"/>
      <w:bookmarkStart w:id="130" w:name="_Toc30099746"/>
      <w:bookmarkEnd w:id="130"/>
      <w:bookmarkStart w:id="131" w:name="_Toc47992153"/>
      <w:bookmarkEnd w:id="131"/>
      <w:bookmarkStart w:id="132" w:name="_Toc30099742"/>
      <w:bookmarkEnd w:id="132"/>
      <w:bookmarkStart w:id="133" w:name="_Toc47991875"/>
      <w:bookmarkEnd w:id="133"/>
      <w:bookmarkStart w:id="134" w:name="_Toc31706159"/>
      <w:bookmarkEnd w:id="134"/>
      <w:bookmarkStart w:id="135" w:name="_Toc47991950"/>
      <w:bookmarkEnd w:id="135"/>
      <w:bookmarkStart w:id="136" w:name="_Toc47991864"/>
      <w:bookmarkEnd w:id="136"/>
      <w:bookmarkStart w:id="137" w:name="_Toc30099739"/>
      <w:bookmarkEnd w:id="137"/>
      <w:bookmarkStart w:id="138" w:name="_Toc47992138"/>
      <w:bookmarkEnd w:id="138"/>
      <w:bookmarkStart w:id="139" w:name="_Toc31707450"/>
      <w:bookmarkEnd w:id="139"/>
      <w:bookmarkStart w:id="140" w:name="_Toc31707459"/>
      <w:bookmarkEnd w:id="140"/>
      <w:bookmarkStart w:id="141" w:name="_Toc31706177"/>
      <w:bookmarkEnd w:id="141"/>
      <w:bookmarkStart w:id="142" w:name="_Toc28014468"/>
      <w:bookmarkEnd w:id="142"/>
      <w:bookmarkStart w:id="143" w:name="_Toc30099740"/>
      <w:bookmarkEnd w:id="143"/>
      <w:bookmarkStart w:id="144" w:name="_Toc30099724"/>
      <w:bookmarkEnd w:id="144"/>
      <w:bookmarkStart w:id="145" w:name="_Toc28014031"/>
      <w:bookmarkEnd w:id="145"/>
      <w:bookmarkStart w:id="146" w:name="_Toc47992156"/>
      <w:bookmarkEnd w:id="146"/>
      <w:bookmarkStart w:id="147" w:name="_Toc47992074"/>
      <w:bookmarkEnd w:id="147"/>
      <w:bookmarkStart w:id="148" w:name="_Toc31707473"/>
      <w:bookmarkEnd w:id="148"/>
      <w:bookmarkStart w:id="149" w:name="_Toc47992227"/>
      <w:bookmarkEnd w:id="149"/>
      <w:bookmarkStart w:id="150" w:name="_Toc28014047"/>
      <w:bookmarkEnd w:id="150"/>
      <w:bookmarkStart w:id="151" w:name="_Toc31707476"/>
      <w:bookmarkEnd w:id="151"/>
      <w:bookmarkStart w:id="152" w:name="_Toc31706166"/>
      <w:bookmarkEnd w:id="152"/>
      <w:bookmarkStart w:id="153" w:name="_Toc47992166"/>
      <w:bookmarkEnd w:id="153"/>
      <w:bookmarkStart w:id="154" w:name="_Toc30099726"/>
      <w:bookmarkEnd w:id="154"/>
      <w:bookmarkStart w:id="155" w:name="_Toc28014037"/>
      <w:bookmarkEnd w:id="155"/>
      <w:bookmarkStart w:id="156" w:name="_Toc30099719"/>
      <w:bookmarkEnd w:id="156"/>
      <w:bookmarkStart w:id="157" w:name="_Toc28014029"/>
      <w:bookmarkEnd w:id="157"/>
      <w:bookmarkStart w:id="158" w:name="_Toc47991960"/>
      <w:bookmarkEnd w:id="158"/>
      <w:bookmarkStart w:id="159" w:name="_Toc47992065"/>
      <w:bookmarkEnd w:id="159"/>
      <w:bookmarkStart w:id="160" w:name="_Toc47991883"/>
      <w:bookmarkEnd w:id="160"/>
      <w:bookmarkStart w:id="161" w:name="_Toc28014052"/>
      <w:bookmarkEnd w:id="161"/>
      <w:bookmarkStart w:id="162" w:name="_Toc47992145"/>
      <w:bookmarkEnd w:id="162"/>
      <w:bookmarkStart w:id="163" w:name="_Toc47992158"/>
      <w:bookmarkEnd w:id="163"/>
      <w:bookmarkStart w:id="164" w:name="_Toc47992063"/>
      <w:bookmarkEnd w:id="164"/>
      <w:bookmarkStart w:id="165" w:name="_Toc47991973"/>
      <w:bookmarkEnd w:id="165"/>
      <w:bookmarkStart w:id="166" w:name="_Toc28014474"/>
      <w:bookmarkEnd w:id="166"/>
      <w:bookmarkStart w:id="167" w:name="_Toc31707454"/>
      <w:bookmarkEnd w:id="167"/>
      <w:bookmarkStart w:id="168" w:name="_Toc28014486"/>
      <w:bookmarkEnd w:id="168"/>
      <w:bookmarkStart w:id="169" w:name="_Toc47992151"/>
      <w:bookmarkEnd w:id="169"/>
      <w:bookmarkStart w:id="170" w:name="_Toc28014487"/>
      <w:bookmarkEnd w:id="170"/>
      <w:bookmarkStart w:id="171" w:name="_Toc28014471"/>
      <w:bookmarkEnd w:id="171"/>
      <w:bookmarkStart w:id="172" w:name="_Toc47991880"/>
      <w:bookmarkEnd w:id="172"/>
      <w:bookmarkStart w:id="173" w:name="_Toc30099748"/>
      <w:bookmarkEnd w:id="173"/>
      <w:bookmarkStart w:id="174" w:name="_Toc31706163"/>
      <w:bookmarkEnd w:id="174"/>
      <w:bookmarkStart w:id="175" w:name="_Toc31707464"/>
      <w:bookmarkEnd w:id="175"/>
      <w:bookmarkStart w:id="176" w:name="_Toc31707478"/>
      <w:bookmarkEnd w:id="176"/>
      <w:bookmarkStart w:id="177" w:name="_Toc47991884"/>
      <w:bookmarkEnd w:id="177"/>
      <w:bookmarkStart w:id="178" w:name="_Toc47992045"/>
      <w:bookmarkEnd w:id="178"/>
      <w:bookmarkStart w:id="179" w:name="_Toc31706156"/>
      <w:bookmarkEnd w:id="179"/>
      <w:bookmarkStart w:id="180" w:name="_Toc28014045"/>
      <w:bookmarkEnd w:id="180"/>
      <w:bookmarkStart w:id="181" w:name="_Toc28014472"/>
      <w:bookmarkEnd w:id="181"/>
      <w:bookmarkStart w:id="182" w:name="_Toc31707466"/>
      <w:bookmarkEnd w:id="182"/>
      <w:bookmarkStart w:id="183" w:name="_Toc28014038"/>
      <w:bookmarkEnd w:id="183"/>
      <w:bookmarkStart w:id="184" w:name="_Toc28014036"/>
      <w:bookmarkEnd w:id="184"/>
      <w:bookmarkStart w:id="185" w:name="_Toc31707463"/>
      <w:bookmarkEnd w:id="185"/>
      <w:bookmarkStart w:id="186" w:name="_Toc31707468"/>
      <w:bookmarkEnd w:id="186"/>
      <w:bookmarkStart w:id="187" w:name="_Toc31706153"/>
      <w:bookmarkEnd w:id="187"/>
      <w:bookmarkStart w:id="188" w:name="_Toc47991858"/>
      <w:bookmarkEnd w:id="188"/>
      <w:bookmarkStart w:id="189" w:name="_Toc30099727"/>
      <w:bookmarkEnd w:id="189"/>
      <w:bookmarkStart w:id="190" w:name="_Toc30099737"/>
      <w:bookmarkEnd w:id="190"/>
      <w:bookmarkStart w:id="191" w:name="_Toc47992244"/>
      <w:bookmarkEnd w:id="191"/>
      <w:bookmarkStart w:id="192" w:name="_Toc31706180"/>
      <w:bookmarkEnd w:id="192"/>
      <w:bookmarkStart w:id="193" w:name="_Toc30099741"/>
      <w:bookmarkEnd w:id="193"/>
      <w:bookmarkStart w:id="194" w:name="_Toc30099728"/>
      <w:bookmarkEnd w:id="194"/>
      <w:bookmarkStart w:id="195" w:name="_Toc47991868"/>
      <w:bookmarkEnd w:id="195"/>
      <w:bookmarkStart w:id="196" w:name="_Toc47992243"/>
      <w:bookmarkEnd w:id="196"/>
      <w:bookmarkStart w:id="197" w:name="_Toc47992058"/>
      <w:bookmarkEnd w:id="197"/>
      <w:bookmarkStart w:id="198" w:name="_Toc31706167"/>
      <w:bookmarkEnd w:id="198"/>
      <w:bookmarkStart w:id="199" w:name="_Toc47991958"/>
      <w:bookmarkEnd w:id="199"/>
      <w:bookmarkStart w:id="200" w:name="_Toc31707477"/>
      <w:bookmarkEnd w:id="200"/>
      <w:bookmarkStart w:id="201" w:name="_Toc31706164"/>
      <w:bookmarkEnd w:id="201"/>
      <w:bookmarkStart w:id="202" w:name="_Toc28014485"/>
      <w:bookmarkEnd w:id="202"/>
      <w:bookmarkStart w:id="203" w:name="_Toc47992142"/>
      <w:bookmarkEnd w:id="203"/>
      <w:bookmarkStart w:id="204" w:name="_Toc31707448"/>
      <w:bookmarkEnd w:id="204"/>
      <w:bookmarkStart w:id="205" w:name="_Toc28014030"/>
      <w:bookmarkEnd w:id="205"/>
      <w:bookmarkStart w:id="206" w:name="_Toc47992049"/>
      <w:bookmarkEnd w:id="206"/>
      <w:bookmarkStart w:id="207" w:name="_Toc47991963"/>
      <w:bookmarkEnd w:id="207"/>
      <w:bookmarkStart w:id="208" w:name="_Toc28014477"/>
      <w:bookmarkEnd w:id="208"/>
      <w:bookmarkStart w:id="209" w:name="_Toc28014056"/>
      <w:bookmarkEnd w:id="209"/>
      <w:bookmarkStart w:id="210" w:name="_Toc47991971"/>
      <w:bookmarkEnd w:id="210"/>
      <w:bookmarkStart w:id="211" w:name="_Toc47991980"/>
      <w:bookmarkEnd w:id="211"/>
      <w:bookmarkStart w:id="212" w:name="_Toc47991866"/>
      <w:bookmarkEnd w:id="212"/>
      <w:bookmarkStart w:id="213" w:name="_Toc47992226"/>
      <w:bookmarkEnd w:id="213"/>
      <w:bookmarkStart w:id="214" w:name="_Toc28014042"/>
      <w:bookmarkEnd w:id="214"/>
      <w:bookmarkStart w:id="215" w:name="_Toc31706168"/>
      <w:bookmarkEnd w:id="215"/>
      <w:bookmarkStart w:id="216" w:name="_Toc47992068"/>
      <w:bookmarkEnd w:id="216"/>
      <w:bookmarkStart w:id="217" w:name="_Toc28014460"/>
      <w:bookmarkEnd w:id="217"/>
      <w:bookmarkStart w:id="218" w:name="_Toc47991856"/>
      <w:bookmarkEnd w:id="218"/>
      <w:bookmarkStart w:id="219" w:name="_Toc28014467"/>
      <w:bookmarkEnd w:id="219"/>
      <w:bookmarkStart w:id="220" w:name="_Toc47992054"/>
      <w:bookmarkEnd w:id="220"/>
      <w:bookmarkStart w:id="221" w:name="_Toc28014459"/>
      <w:bookmarkEnd w:id="221"/>
      <w:bookmarkStart w:id="222" w:name="_Toc47991969"/>
      <w:bookmarkEnd w:id="222"/>
      <w:bookmarkStart w:id="223" w:name="_Toc47992152"/>
      <w:bookmarkEnd w:id="223"/>
      <w:bookmarkStart w:id="224" w:name="_Toc47991953"/>
      <w:bookmarkEnd w:id="224"/>
      <w:bookmarkStart w:id="225" w:name="_Toc31707460"/>
      <w:bookmarkEnd w:id="225"/>
      <w:bookmarkStart w:id="226" w:name="_Toc47991859"/>
      <w:bookmarkEnd w:id="226"/>
      <w:bookmarkStart w:id="227" w:name="_Toc47991954"/>
      <w:bookmarkEnd w:id="227"/>
      <w:bookmarkStart w:id="228" w:name="_Toc47992155"/>
      <w:bookmarkEnd w:id="228"/>
      <w:bookmarkStart w:id="229" w:name="_Toc31707475"/>
      <w:bookmarkEnd w:id="229"/>
      <w:bookmarkStart w:id="230" w:name="_Toc47992143"/>
      <w:bookmarkEnd w:id="230"/>
      <w:bookmarkStart w:id="231" w:name="_Toc47992069"/>
      <w:bookmarkEnd w:id="231"/>
      <w:bookmarkStart w:id="232" w:name="_Toc31706165"/>
      <w:bookmarkEnd w:id="232"/>
      <w:bookmarkStart w:id="233" w:name="_Toc47991867"/>
      <w:bookmarkEnd w:id="233"/>
      <w:bookmarkStart w:id="234" w:name="_Toc47991955"/>
      <w:bookmarkEnd w:id="234"/>
      <w:bookmarkStart w:id="235" w:name="_Toc47992241"/>
      <w:bookmarkEnd w:id="235"/>
      <w:bookmarkStart w:id="236" w:name="_Toc28014051"/>
      <w:bookmarkEnd w:id="236"/>
      <w:bookmarkStart w:id="237" w:name="_Toc47991857"/>
      <w:bookmarkEnd w:id="237"/>
      <w:bookmarkStart w:id="238" w:name="_Toc31707455"/>
      <w:bookmarkEnd w:id="238"/>
      <w:bookmarkStart w:id="239" w:name="_Toc47992242"/>
      <w:bookmarkEnd w:id="239"/>
      <w:bookmarkStart w:id="240" w:name="_Toc28014462"/>
      <w:bookmarkEnd w:id="240"/>
      <w:bookmarkStart w:id="241" w:name="_Toc28014034"/>
      <w:bookmarkEnd w:id="241"/>
      <w:bookmarkStart w:id="242" w:name="_Toc47991872"/>
      <w:bookmarkEnd w:id="242"/>
      <w:bookmarkStart w:id="243" w:name="_Toc30099736"/>
      <w:bookmarkEnd w:id="243"/>
      <w:bookmarkStart w:id="244" w:name="_Toc28014473"/>
      <w:bookmarkEnd w:id="244"/>
      <w:bookmarkStart w:id="245" w:name="_Toc47992057"/>
      <w:bookmarkEnd w:id="245"/>
      <w:bookmarkStart w:id="246" w:name="_Toc47991873"/>
      <w:bookmarkEnd w:id="246"/>
      <w:bookmarkStart w:id="247" w:name="_Toc30099722"/>
      <w:bookmarkEnd w:id="247"/>
      <w:bookmarkStart w:id="248" w:name="_Toc47992230"/>
      <w:bookmarkEnd w:id="248"/>
      <w:bookmarkStart w:id="249" w:name="_Toc31706179"/>
      <w:bookmarkEnd w:id="249"/>
      <w:bookmarkStart w:id="250" w:name="_Toc31707479"/>
      <w:bookmarkEnd w:id="250"/>
      <w:bookmarkStart w:id="251" w:name="_Toc47992160"/>
      <w:bookmarkEnd w:id="251"/>
      <w:bookmarkStart w:id="252" w:name="_Toc47992249"/>
      <w:bookmarkEnd w:id="252"/>
      <w:bookmarkStart w:id="253" w:name="_Toc47992163"/>
      <w:bookmarkEnd w:id="253"/>
      <w:bookmarkStart w:id="254" w:name="_Toc28014041"/>
      <w:bookmarkEnd w:id="254"/>
      <w:bookmarkStart w:id="255" w:name="_Toc30099744"/>
      <w:bookmarkEnd w:id="255"/>
      <w:bookmarkStart w:id="256" w:name="_Toc28014463"/>
      <w:bookmarkEnd w:id="256"/>
      <w:bookmarkStart w:id="257" w:name="_Toc47992053"/>
      <w:bookmarkEnd w:id="257"/>
      <w:bookmarkStart w:id="258" w:name="_Toc28014470"/>
      <w:bookmarkEnd w:id="258"/>
      <w:bookmarkStart w:id="259" w:name="_Toc47992061"/>
      <w:bookmarkEnd w:id="259"/>
      <w:bookmarkStart w:id="260" w:name="_Toc31706162"/>
      <w:bookmarkEnd w:id="260"/>
      <w:bookmarkStart w:id="261" w:name="_Toc30099718"/>
      <w:bookmarkEnd w:id="261"/>
      <w:bookmarkStart w:id="262" w:name="_Toc47992253"/>
      <w:bookmarkEnd w:id="262"/>
      <w:bookmarkStart w:id="263" w:name="_Toc28014044"/>
      <w:bookmarkEnd w:id="263"/>
      <w:bookmarkStart w:id="264" w:name="_Toc47992137"/>
      <w:bookmarkEnd w:id="264"/>
      <w:bookmarkStart w:id="265" w:name="_Toc47992071"/>
      <w:bookmarkEnd w:id="265"/>
      <w:bookmarkStart w:id="266" w:name="_Toc47992159"/>
      <w:bookmarkEnd w:id="266"/>
      <w:bookmarkStart w:id="267" w:name="_Toc47992154"/>
      <w:bookmarkEnd w:id="267"/>
      <w:bookmarkStart w:id="268" w:name="_Toc31707465"/>
      <w:bookmarkEnd w:id="268"/>
      <w:bookmarkStart w:id="269" w:name="_Toc31706178"/>
      <w:bookmarkEnd w:id="269"/>
      <w:bookmarkStart w:id="270" w:name="_Toc31706169"/>
      <w:bookmarkEnd w:id="270"/>
      <w:bookmarkStart w:id="271" w:name="_Toc47992075"/>
      <w:bookmarkEnd w:id="271"/>
      <w:bookmarkStart w:id="272" w:name="_Toc31707471"/>
      <w:bookmarkEnd w:id="272"/>
      <w:bookmarkStart w:id="273" w:name="_Toc47992048"/>
      <w:bookmarkEnd w:id="273"/>
      <w:bookmarkStart w:id="274" w:name="_Toc47992161"/>
      <w:bookmarkEnd w:id="274"/>
      <w:bookmarkStart w:id="275" w:name="_Toc28014032"/>
      <w:bookmarkEnd w:id="275"/>
      <w:bookmarkStart w:id="276" w:name="_Toc28014048"/>
      <w:bookmarkEnd w:id="276"/>
      <w:bookmarkStart w:id="277" w:name="_Toc47991959"/>
      <w:bookmarkEnd w:id="277"/>
      <w:bookmarkStart w:id="278" w:name="_Toc47991967"/>
      <w:bookmarkEnd w:id="278"/>
      <w:bookmarkStart w:id="279" w:name="_Toc30099738"/>
      <w:bookmarkEnd w:id="279"/>
      <w:bookmarkStart w:id="280" w:name="_Toc31706161"/>
      <w:bookmarkEnd w:id="280"/>
      <w:bookmarkStart w:id="281" w:name="_Toc28014055"/>
      <w:bookmarkEnd w:id="281"/>
      <w:bookmarkStart w:id="282" w:name="_Toc47992073"/>
      <w:bookmarkEnd w:id="282"/>
      <w:bookmarkStart w:id="283" w:name="_Toc31706158"/>
      <w:bookmarkEnd w:id="283"/>
      <w:bookmarkStart w:id="284" w:name="_Toc30099747"/>
      <w:bookmarkEnd w:id="284"/>
      <w:bookmarkStart w:id="285" w:name="_Toc28014464"/>
      <w:bookmarkEnd w:id="285"/>
      <w:bookmarkStart w:id="286" w:name="_Toc30099745"/>
      <w:bookmarkEnd w:id="286"/>
      <w:bookmarkStart w:id="287" w:name="_Toc30099730"/>
      <w:bookmarkEnd w:id="287"/>
      <w:bookmarkStart w:id="288" w:name="_Toc47992051"/>
      <w:bookmarkEnd w:id="288"/>
      <w:bookmarkStart w:id="289" w:name="_Toc47992059"/>
      <w:bookmarkEnd w:id="289"/>
      <w:bookmarkStart w:id="290" w:name="_Toc47991879"/>
      <w:bookmarkEnd w:id="290"/>
      <w:bookmarkStart w:id="291" w:name="_Toc47992141"/>
      <w:bookmarkEnd w:id="291"/>
      <w:bookmarkStart w:id="292" w:name="_Toc47992246"/>
      <w:bookmarkEnd w:id="292"/>
      <w:bookmarkStart w:id="293" w:name="_Toc31707456"/>
      <w:bookmarkEnd w:id="293"/>
      <w:bookmarkStart w:id="294" w:name="_Toc28014049"/>
      <w:bookmarkEnd w:id="294"/>
      <w:bookmarkStart w:id="295" w:name="_Toc47992064"/>
      <w:bookmarkEnd w:id="295"/>
      <w:bookmarkStart w:id="296" w:name="_Toc28014465"/>
      <w:bookmarkEnd w:id="296"/>
      <w:bookmarkStart w:id="297" w:name="_Toc31706174"/>
      <w:bookmarkEnd w:id="297"/>
      <w:bookmarkStart w:id="298" w:name="_Toc28014053"/>
      <w:bookmarkEnd w:id="298"/>
      <w:bookmarkStart w:id="299" w:name="_Toc30099733"/>
      <w:bookmarkEnd w:id="299"/>
      <w:bookmarkStart w:id="300" w:name="_Toc47991860"/>
      <w:bookmarkEnd w:id="300"/>
      <w:bookmarkStart w:id="301" w:name="_Toc47991887"/>
      <w:bookmarkEnd w:id="301"/>
      <w:bookmarkStart w:id="302" w:name="_Toc28014039"/>
      <w:bookmarkEnd w:id="302"/>
      <w:bookmarkStart w:id="303" w:name="_Toc31707467"/>
      <w:bookmarkEnd w:id="303"/>
      <w:bookmarkStart w:id="304" w:name="_Toc47991871"/>
      <w:bookmarkEnd w:id="304"/>
      <w:bookmarkStart w:id="305" w:name="_Toc31707474"/>
      <w:bookmarkEnd w:id="305"/>
      <w:bookmarkStart w:id="306" w:name="_Toc47992257"/>
      <w:bookmarkEnd w:id="306"/>
      <w:bookmarkStart w:id="307" w:name="_Toc31707451"/>
      <w:bookmarkEnd w:id="307"/>
      <w:bookmarkStart w:id="308" w:name="_Toc47992234"/>
      <w:bookmarkEnd w:id="308"/>
      <w:bookmarkStart w:id="309" w:name="_Toc47991964"/>
      <w:bookmarkEnd w:id="309"/>
      <w:bookmarkStart w:id="310" w:name="_Toc28014480"/>
      <w:bookmarkEnd w:id="310"/>
      <w:bookmarkStart w:id="311" w:name="_Toc47991952"/>
      <w:bookmarkEnd w:id="311"/>
      <w:bookmarkStart w:id="312" w:name="_Toc47992139"/>
      <w:bookmarkEnd w:id="312"/>
      <w:bookmarkStart w:id="313" w:name="_Toc31706183"/>
      <w:bookmarkEnd w:id="313"/>
      <w:bookmarkStart w:id="314" w:name="_Toc47992250"/>
      <w:bookmarkEnd w:id="314"/>
      <w:bookmarkStart w:id="315" w:name="_Toc31706172"/>
      <w:bookmarkEnd w:id="315"/>
      <w:bookmarkStart w:id="316" w:name="_Toc31707469"/>
      <w:bookmarkEnd w:id="316"/>
      <w:bookmarkStart w:id="317" w:name="_Toc31706182"/>
      <w:bookmarkEnd w:id="317"/>
      <w:bookmarkStart w:id="318" w:name="_Toc47992229"/>
      <w:bookmarkEnd w:id="318"/>
      <w:bookmarkStart w:id="319" w:name="_Toc47992044"/>
      <w:bookmarkEnd w:id="319"/>
      <w:bookmarkStart w:id="320" w:name="_Toc30099721"/>
      <w:bookmarkEnd w:id="320"/>
      <w:bookmarkStart w:id="321" w:name="_Toc30099743"/>
      <w:bookmarkEnd w:id="321"/>
      <w:bookmarkStart w:id="322" w:name="_Toc31706173"/>
      <w:bookmarkEnd w:id="322"/>
      <w:bookmarkStart w:id="323" w:name="_Toc31707472"/>
      <w:bookmarkEnd w:id="323"/>
      <w:bookmarkStart w:id="324" w:name="_Toc47992047"/>
      <w:bookmarkEnd w:id="324"/>
      <w:bookmarkStart w:id="325" w:name="_Toc47991962"/>
      <w:bookmarkEnd w:id="325"/>
      <w:bookmarkStart w:id="326" w:name="_Toc47991979"/>
      <w:bookmarkEnd w:id="326"/>
      <w:bookmarkStart w:id="327" w:name="_Toc31706154"/>
      <w:bookmarkEnd w:id="327"/>
      <w:bookmarkStart w:id="328" w:name="_Toc28014489"/>
      <w:bookmarkEnd w:id="328"/>
      <w:bookmarkStart w:id="329" w:name="_Toc47992165"/>
      <w:bookmarkEnd w:id="329"/>
      <w:bookmarkStart w:id="330" w:name="_Toc47992067"/>
      <w:bookmarkEnd w:id="330"/>
      <w:bookmarkStart w:id="331" w:name="_Toc47992056"/>
      <w:bookmarkEnd w:id="331"/>
      <w:bookmarkStart w:id="332" w:name="_Toc47991885"/>
      <w:bookmarkEnd w:id="332"/>
      <w:bookmarkStart w:id="333" w:name="_Toc28014027"/>
      <w:bookmarkEnd w:id="333"/>
      <w:bookmarkStart w:id="334" w:name="_Toc47992237"/>
      <w:bookmarkEnd w:id="334"/>
      <w:bookmarkStart w:id="335" w:name="_Toc47992239"/>
      <w:bookmarkEnd w:id="335"/>
      <w:bookmarkStart w:id="336" w:name="_Toc31707461"/>
      <w:bookmarkEnd w:id="336"/>
      <w:bookmarkStart w:id="337" w:name="_Toc30099732"/>
      <w:bookmarkEnd w:id="337"/>
      <w:bookmarkStart w:id="338" w:name="_Toc30099723"/>
      <w:bookmarkEnd w:id="338"/>
      <w:bookmarkStart w:id="339" w:name="_Toc28014475"/>
      <w:bookmarkEnd w:id="339"/>
      <w:bookmarkStart w:id="340" w:name="_Toc28014046"/>
      <w:bookmarkEnd w:id="340"/>
      <w:bookmarkStart w:id="341" w:name="_Toc47992168"/>
      <w:bookmarkEnd w:id="341"/>
      <w:bookmarkStart w:id="342" w:name="_Toc47991956"/>
      <w:bookmarkEnd w:id="342"/>
      <w:bookmarkStart w:id="343" w:name="_Toc54732875"/>
      <w:bookmarkStart w:id="344" w:name="_Toc54277937"/>
      <w:r>
        <w:rPr>
          <w:rFonts w:hint="eastAsia" w:ascii="宋体" w:hAnsi="宋体" w:eastAsia="宋体" w:cs="宋体"/>
          <w:lang w:val="en-US" w:eastAsia="zh-CN"/>
        </w:rPr>
        <w:t>5.</w:t>
      </w:r>
      <w:r>
        <w:rPr>
          <w:rFonts w:hint="eastAsia" w:ascii="宋体" w:hAnsi="宋体" w:eastAsia="宋体" w:cs="宋体"/>
        </w:rPr>
        <w:t>1.2防恶意代码客户端管理模块功能要求</w:t>
      </w:r>
      <w:bookmarkEnd w:id="343"/>
      <w:bookmarkEnd w:id="344"/>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1</w:t>
      </w:r>
      <w:r>
        <w:rPr>
          <w:rFonts w:hint="eastAsia" w:ascii="宋体" w:hAnsi="宋体" w:eastAsia="宋体" w:cs="宋体"/>
        </w:rPr>
        <w:t>）管理模块支持类型</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管理模块应支持适配凝思、麒麟等国产安全操作系统或Linux、Unix操作系统中的至少一种。</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2</w:t>
      </w:r>
      <w:r>
        <w:rPr>
          <w:rFonts w:hint="eastAsia" w:ascii="宋体" w:hAnsi="宋体" w:eastAsia="宋体" w:cs="宋体"/>
        </w:rPr>
        <w:t>）管理模块策略下发功能</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管理模块策略下发应满足如下要求：</w:t>
      </w:r>
    </w:p>
    <w:p>
      <w:pPr>
        <w:adjustRightInd w:val="0"/>
        <w:snapToGrid w:val="0"/>
        <w:spacing w:line="360" w:lineRule="auto"/>
        <w:ind w:left="976" w:leftChars="465" w:firstLine="56" w:firstLineChars="27"/>
        <w:rPr>
          <w:rFonts w:hint="eastAsia" w:ascii="宋体" w:hAnsi="宋体" w:eastAsia="宋体" w:cs="宋体"/>
        </w:rPr>
      </w:pPr>
      <w:r>
        <w:rPr>
          <w:rFonts w:hint="eastAsia" w:ascii="宋体" w:hAnsi="宋体" w:eastAsia="宋体" w:cs="宋体"/>
        </w:rPr>
        <w:t>应能根据业务系统特点制定恶意代码扫描及处置策略，设置主要扫描的文件类型，订制扫描计划并同步分配策略</w:t>
      </w:r>
      <w:r>
        <w:rPr>
          <w:rFonts w:hint="eastAsia" w:ascii="宋体" w:hAnsi="宋体" w:eastAsia="宋体" w:cs="宋体"/>
          <w:lang w:eastAsia="zh-CN"/>
        </w:rPr>
        <w:t>，</w:t>
      </w:r>
      <w:r>
        <w:rPr>
          <w:rFonts w:hint="eastAsia" w:ascii="宋体" w:hAnsi="宋体" w:eastAsia="宋体" w:cs="宋体"/>
          <w:lang w:val="en-US" w:eastAsia="zh-CN"/>
        </w:rPr>
        <w:t>按恶意代码部署要求配置syslog配置、特征库升级策略、查杀</w:t>
      </w:r>
      <w:r>
        <w:rPr>
          <w:rFonts w:hint="default" w:ascii="宋体" w:hAnsi="宋体" w:eastAsia="宋体" w:cs="宋体"/>
          <w:lang w:val="en-US" w:eastAsia="zh-CN"/>
        </w:rPr>
        <w:t>策略，可实现定期升级及扫描</w:t>
      </w:r>
      <w:r>
        <w:rPr>
          <w:rFonts w:hint="eastAsia" w:ascii="宋体" w:hAnsi="宋体" w:eastAsia="宋体" w:cs="宋体"/>
          <w:lang w:val="en-US" w:eastAsia="zh-CN"/>
        </w:rPr>
        <w:t>；</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应能够设置在不影响业务正常运行或者业务空闲的情况下定期进行扫描；</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应能够设置访问的所有本地或网络位置以及所有支持的通信协议传输信道进行扫描；</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应支持询问用户后处置或基于预先已设定的策略自动处置，默认应询问用户后处置；</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应能够设置对隔离区文件进行删除或还原处置操作；</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应支持文件、软件或进程的黑白名单设置。</w:t>
      </w:r>
    </w:p>
    <w:p>
      <w:pPr>
        <w:adjustRightInd w:val="0"/>
        <w:snapToGrid w:val="0"/>
        <w:spacing w:line="360" w:lineRule="auto"/>
        <w:ind w:left="560" w:firstLine="480"/>
        <w:rPr>
          <w:rFonts w:hint="eastAsia" w:ascii="宋体" w:hAnsi="宋体" w:eastAsia="宋体" w:cs="宋体"/>
        </w:rPr>
      </w:pPr>
      <w:bookmarkStart w:id="345" w:name="_Toc1744"/>
      <w:r>
        <w:rPr>
          <w:rFonts w:hint="eastAsia" w:ascii="宋体" w:hAnsi="宋体" w:eastAsia="宋体" w:cs="宋体"/>
        </w:rPr>
        <w:t>（</w:t>
      </w:r>
      <w:r>
        <w:rPr>
          <w:rFonts w:hint="eastAsia" w:ascii="宋体" w:hAnsi="宋体" w:eastAsia="宋体" w:cs="宋体"/>
          <w:lang w:val="en-US" w:eastAsia="zh-CN"/>
        </w:rPr>
        <w:t>3</w:t>
      </w:r>
      <w:r>
        <w:rPr>
          <w:rFonts w:hint="eastAsia" w:ascii="宋体" w:hAnsi="宋体" w:eastAsia="宋体" w:cs="宋体"/>
        </w:rPr>
        <w:t>）管理模块多级管理和更新要求</w:t>
      </w:r>
      <w:bookmarkEnd w:id="345"/>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管理模块多级管理和特征库更新应满足如下要求：</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应支持多级管理模式，支持大型网络管理，各级设置不同管理权限，支持各级管理模块升级管理；</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应支持通过管理模块对下级管理模块和本级所辖的每一个主机客户端的监控、配置、查询、策略下发及更新，扫描结果能够由下级管理模块和客户端回传至本级管理模块；</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应支持分组管理；</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应支持特征库的在线和离线升级更新，应支持增量升级</w:t>
      </w:r>
      <w:r>
        <w:rPr>
          <w:rFonts w:hint="eastAsia" w:ascii="宋体" w:hAnsi="宋体" w:eastAsia="宋体" w:cs="宋体"/>
          <w:lang w:eastAsia="zh-CN"/>
        </w:rPr>
        <w:t>，</w:t>
      </w:r>
      <w:r>
        <w:rPr>
          <w:rFonts w:hint="eastAsia" w:ascii="宋体" w:hAnsi="宋体" w:eastAsia="宋体" w:cs="宋体"/>
          <w:lang w:val="en-US" w:eastAsia="zh-CN"/>
        </w:rPr>
        <w:t>厂站恶意代码管理中心特征库要与区调恶意代码管理中心保持</w:t>
      </w:r>
      <w:r>
        <w:rPr>
          <w:rFonts w:hint="default" w:ascii="宋体" w:hAnsi="宋体" w:eastAsia="宋体" w:cs="宋体"/>
          <w:lang w:val="en-US" w:eastAsia="zh-CN"/>
        </w:rPr>
        <w:t>一致，必须定期进行升级（每月 3 次），若特征库超一季度未更新，将自动统计并计入考核</w:t>
      </w:r>
      <w:r>
        <w:rPr>
          <w:rFonts w:hint="eastAsia" w:ascii="宋体" w:hAnsi="宋体" w:eastAsia="宋体" w:cs="宋体"/>
          <w:lang w:val="en-US" w:eastAsia="zh-CN"/>
        </w:rPr>
        <w:t>；</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应支持通过上级管理模块远程更新下级管理模块的恶意代码特征库；</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应支持通过上级管理模块远程管理下级管理模块的恶意代码查杀策略；</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应具备对下级管理模块和本级所辖设备的日志查询与统计功能；</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应支持自定义配置恶意代码特征库在线更新地址</w:t>
      </w:r>
    </w:p>
    <w:p>
      <w:pPr>
        <w:adjustRightInd w:val="0"/>
        <w:snapToGrid w:val="0"/>
        <w:spacing w:line="360" w:lineRule="auto"/>
        <w:ind w:left="560" w:firstLine="480"/>
        <w:rPr>
          <w:rFonts w:hint="default" w:ascii="宋体" w:hAnsi="宋体" w:eastAsia="宋体" w:cs="宋体"/>
          <w:lang w:val="en-US" w:eastAsia="zh-CN"/>
        </w:rPr>
      </w:pPr>
      <w:r>
        <w:rPr>
          <w:rFonts w:hint="eastAsia" w:ascii="宋体" w:hAnsi="宋体" w:eastAsia="宋体" w:cs="宋体"/>
        </w:rPr>
        <w:t>（</w:t>
      </w:r>
      <w:r>
        <w:rPr>
          <w:rFonts w:hint="eastAsia" w:ascii="宋体" w:hAnsi="宋体" w:eastAsia="宋体" w:cs="宋体"/>
          <w:lang w:val="en-US" w:eastAsia="zh-CN"/>
        </w:rPr>
        <w:t>4</w:t>
      </w:r>
      <w:r>
        <w:rPr>
          <w:rFonts w:hint="eastAsia" w:ascii="宋体" w:hAnsi="宋体" w:eastAsia="宋体" w:cs="宋体"/>
        </w:rPr>
        <w:t>）</w:t>
      </w:r>
      <w:r>
        <w:rPr>
          <w:rFonts w:hint="eastAsia" w:ascii="宋体" w:hAnsi="宋体" w:eastAsia="宋体" w:cs="宋体"/>
          <w:lang w:val="en-US" w:eastAsia="zh-CN"/>
        </w:rPr>
        <w:t>部署</w:t>
      </w:r>
      <w:r>
        <w:rPr>
          <w:rFonts w:hint="eastAsia" w:ascii="宋体" w:hAnsi="宋体" w:eastAsia="宋体" w:cs="宋体"/>
        </w:rPr>
        <w:t>恶意代码防护系统</w:t>
      </w:r>
      <w:r>
        <w:rPr>
          <w:rFonts w:hint="eastAsia" w:ascii="宋体" w:hAnsi="宋体" w:eastAsia="宋体" w:cs="宋体"/>
          <w:lang w:val="en-US" w:eastAsia="zh-CN"/>
        </w:rPr>
        <w:t>需满足宁夏区调相关要求</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中宁二电厂部署</w:t>
      </w:r>
      <w:r>
        <w:rPr>
          <w:rFonts w:hint="eastAsia" w:ascii="宋体" w:hAnsi="宋体" w:eastAsia="宋体" w:cs="宋体"/>
        </w:rPr>
        <w:t>恶意代码防护系统</w:t>
      </w:r>
      <w:r>
        <w:rPr>
          <w:rFonts w:hint="eastAsia" w:ascii="宋体" w:hAnsi="宋体" w:eastAsia="宋体" w:cs="宋体"/>
          <w:lang w:val="en-US" w:eastAsia="zh-CN"/>
        </w:rPr>
        <w:t>需接入区调</w:t>
      </w:r>
      <w:r>
        <w:rPr>
          <w:rFonts w:hint="default" w:ascii="宋体" w:hAnsi="宋体" w:eastAsia="宋体" w:cs="宋体"/>
          <w:lang w:val="en-US" w:eastAsia="zh-CN"/>
        </w:rPr>
        <w:t>恶意代码管理中心</w:t>
      </w:r>
      <w:r>
        <w:rPr>
          <w:rFonts w:hint="eastAsia" w:ascii="宋体" w:hAnsi="宋体" w:eastAsia="宋体" w:cs="宋体"/>
          <w:lang w:val="en-US" w:eastAsia="zh-CN"/>
        </w:rPr>
        <w:t>；</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5.</w:t>
      </w:r>
      <w:r>
        <w:rPr>
          <w:rFonts w:hint="eastAsia" w:ascii="宋体" w:hAnsi="宋体" w:eastAsia="宋体" w:cs="宋体"/>
        </w:rPr>
        <w:t>1.</w:t>
      </w:r>
      <w:r>
        <w:rPr>
          <w:rFonts w:hint="eastAsia" w:ascii="宋体" w:hAnsi="宋体" w:eastAsia="宋体" w:cs="宋体"/>
          <w:lang w:val="en-US" w:eastAsia="zh-CN"/>
        </w:rPr>
        <w:t>3告警相关要求：</w:t>
      </w:r>
    </w:p>
    <w:p>
      <w:pPr>
        <w:adjustRightInd w:val="0"/>
        <w:snapToGrid w:val="0"/>
        <w:spacing w:line="360" w:lineRule="auto"/>
        <w:ind w:left="560" w:firstLine="480"/>
        <w:rPr>
          <w:rFonts w:hint="default" w:ascii="宋体" w:hAnsi="宋体" w:eastAsia="宋体" w:cs="宋体"/>
          <w:lang w:val="en-US" w:eastAsia="zh-CN"/>
        </w:rPr>
      </w:pPr>
      <w:r>
        <w:rPr>
          <w:rFonts w:hint="eastAsia" w:ascii="宋体" w:hAnsi="宋体" w:eastAsia="宋体" w:cs="宋体"/>
          <w:lang w:val="en-US" w:eastAsia="zh-CN"/>
        </w:rPr>
        <w:t>一、</w:t>
      </w:r>
      <w:r>
        <w:rPr>
          <w:rFonts w:hint="default" w:ascii="宋体" w:hAnsi="宋体" w:eastAsia="宋体" w:cs="宋体"/>
          <w:lang w:val="en-US" w:eastAsia="zh-CN"/>
        </w:rPr>
        <w:t>厂站恶意代码管理中心必须作为主机资产接入Ⅱ型网络安全监测装置，完成《网监告警测试表》的全部告警测试后，方可进行厂站终端的接入调试。</w:t>
      </w:r>
    </w:p>
    <w:p>
      <w:pPr>
        <w:adjustRightInd w:val="0"/>
        <w:snapToGrid w:val="0"/>
        <w:spacing w:line="360" w:lineRule="auto"/>
        <w:ind w:left="560" w:firstLine="480"/>
        <w:rPr>
          <w:rFonts w:hint="default" w:ascii="宋体" w:hAnsi="宋体" w:eastAsia="宋体" w:cs="宋体"/>
          <w:lang w:val="en-US" w:eastAsia="zh-CN"/>
        </w:rPr>
      </w:pPr>
      <w:r>
        <w:rPr>
          <w:rFonts w:hint="default" w:ascii="宋体" w:hAnsi="宋体" w:eastAsia="宋体" w:cs="宋体"/>
          <w:lang w:val="en-US" w:eastAsia="zh-CN"/>
        </w:rPr>
        <w:t>二</w:t>
      </w:r>
      <w:r>
        <w:rPr>
          <w:rFonts w:hint="eastAsia" w:ascii="宋体" w:hAnsi="宋体" w:eastAsia="宋体" w:cs="宋体"/>
          <w:lang w:val="en-US" w:eastAsia="zh-CN"/>
        </w:rPr>
        <w:t>、</w:t>
      </w:r>
      <w:r>
        <w:rPr>
          <w:rFonts w:hint="default" w:ascii="宋体" w:hAnsi="宋体" w:eastAsia="宋体" w:cs="宋体"/>
          <w:lang w:val="en-US" w:eastAsia="zh-CN"/>
        </w:rPr>
        <w:t>厂站内所有客户端的病毒、恶意代码等告警必须汇总至厂站恶意代码管理中心，再通过管理中心汇总日志传输至Ⅱ型网络安全监测装置。恶意代码相关病毒告警必须能在Ⅱ型网监中同步查看。（即</w:t>
      </w:r>
      <w:r>
        <w:rPr>
          <w:rFonts w:hint="eastAsia" w:ascii="宋体" w:hAnsi="宋体" w:eastAsia="宋体" w:cs="宋体"/>
          <w:lang w:val="en-US" w:eastAsia="zh-CN"/>
        </w:rPr>
        <w:t>：</w:t>
      </w:r>
      <w:r>
        <w:rPr>
          <w:rFonts w:hint="default" w:ascii="宋体" w:hAnsi="宋体" w:eastAsia="宋体" w:cs="宋体"/>
          <w:lang w:val="en-US" w:eastAsia="zh-CN"/>
        </w:rPr>
        <w:t>配置恶意代码管理中心的 syslog 日志至Ⅱ型网监）</w:t>
      </w:r>
    </w:p>
    <w:p>
      <w:pPr>
        <w:pStyle w:val="11"/>
        <w:spacing w:line="360" w:lineRule="auto"/>
        <w:ind w:firstLine="1050" w:firstLineChars="500"/>
        <w:rPr>
          <w:rFonts w:hint="default" w:ascii="宋体" w:hAnsi="宋体" w:eastAsia="宋体" w:cs="宋体"/>
          <w:kern w:val="2"/>
          <w:sz w:val="21"/>
          <w:szCs w:val="22"/>
          <w:lang w:val="en-US" w:eastAsia="zh-CN" w:bidi="ar-SA"/>
        </w:rPr>
      </w:pPr>
      <w:r>
        <w:rPr>
          <w:rFonts w:hint="eastAsia" w:ascii="宋体" w:hAnsi="宋体" w:cs="宋体"/>
          <w:kern w:val="2"/>
          <w:sz w:val="21"/>
          <w:szCs w:val="22"/>
          <w:lang w:val="en-US" w:eastAsia="zh-CN" w:bidi="ar-SA"/>
        </w:rPr>
        <w:t>三、</w:t>
      </w:r>
      <w:r>
        <w:rPr>
          <w:rFonts w:hint="eastAsia" w:ascii="宋体" w:hAnsi="宋体" w:eastAsia="宋体" w:cs="宋体"/>
          <w:kern w:val="2"/>
          <w:sz w:val="21"/>
          <w:szCs w:val="22"/>
          <w:lang w:val="en-US" w:eastAsia="zh-CN" w:bidi="ar-SA"/>
        </w:rPr>
        <w:t>按照区调下发要求，开展相关测试并出具调试报告</w:t>
      </w:r>
    </w:p>
    <w:p>
      <w:pPr>
        <w:adjustRightInd w:val="0"/>
        <w:snapToGrid w:val="0"/>
        <w:spacing w:line="360" w:lineRule="auto"/>
        <w:ind w:left="560" w:firstLine="480"/>
        <w:outlineLvl w:val="1"/>
        <w:rPr>
          <w:rFonts w:hint="eastAsia" w:ascii="宋体" w:hAnsi="宋体" w:eastAsia="宋体" w:cs="宋体"/>
          <w:b/>
          <w:bCs/>
        </w:rPr>
      </w:pPr>
      <w:r>
        <w:rPr>
          <w:rFonts w:hint="eastAsia" w:ascii="宋体" w:hAnsi="宋体" w:eastAsia="宋体" w:cs="宋体"/>
          <w:b/>
          <w:bCs/>
          <w:lang w:val="en-US" w:eastAsia="zh-CN"/>
        </w:rPr>
        <w:t>5.</w:t>
      </w:r>
      <w:r>
        <w:rPr>
          <w:rFonts w:hint="eastAsia" w:ascii="宋体" w:hAnsi="宋体" w:eastAsia="宋体" w:cs="宋体"/>
          <w:b/>
          <w:bCs/>
        </w:rPr>
        <w:t>2入侵检测</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入侵检测防护系统：在安全一区、二区各部署一套，通过流量镜像方式采集两区全部网络流量，实现厂站生产大区一、二区网络安全威胁实时感知与智能分析。</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lang w:val="en-US" w:eastAsia="zh-CN"/>
        </w:rPr>
        <w:t>5.</w:t>
      </w:r>
      <w:r>
        <w:rPr>
          <w:rFonts w:hint="eastAsia" w:ascii="宋体" w:hAnsi="宋体" w:eastAsia="宋体" w:cs="宋体"/>
        </w:rPr>
        <w:t>2.1检测能力</w:t>
      </w:r>
    </w:p>
    <w:p>
      <w:pPr>
        <w:numPr>
          <w:ilvl w:val="0"/>
          <w:numId w:val="0"/>
        </w:numPr>
        <w:adjustRightInd w:val="0"/>
        <w:snapToGrid w:val="0"/>
        <w:spacing w:line="360" w:lineRule="auto"/>
        <w:ind w:leftChars="400"/>
        <w:jc w:val="left"/>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1</w:t>
      </w:r>
      <w:r>
        <w:rPr>
          <w:rFonts w:hint="eastAsia" w:ascii="宋体" w:hAnsi="宋体" w:eastAsia="宋体" w:cs="宋体"/>
        </w:rPr>
        <w:t>）应支持基于特征库（签名）的攻击检测，特征库应支持在线与离线更新。</w:t>
      </w:r>
    </w:p>
    <w:p>
      <w:pPr>
        <w:numPr>
          <w:ilvl w:val="0"/>
          <w:numId w:val="0"/>
        </w:numPr>
        <w:adjustRightInd w:val="0"/>
        <w:snapToGrid w:val="0"/>
        <w:spacing w:line="360" w:lineRule="auto"/>
        <w:ind w:leftChars="400"/>
        <w:jc w:val="left"/>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2</w:t>
      </w:r>
      <w:r>
        <w:rPr>
          <w:rFonts w:hint="eastAsia" w:ascii="宋体" w:hAnsi="宋体" w:eastAsia="宋体" w:cs="宋体"/>
        </w:rPr>
        <w:t>）应支持基于异常行为的检测，如流量突变、协议异常、端口扫描等。</w:t>
      </w:r>
    </w:p>
    <w:p>
      <w:pPr>
        <w:numPr>
          <w:ilvl w:val="0"/>
          <w:numId w:val="0"/>
        </w:numPr>
        <w:adjustRightInd w:val="0"/>
        <w:snapToGrid w:val="0"/>
        <w:spacing w:line="360" w:lineRule="auto"/>
        <w:ind w:leftChars="400"/>
        <w:jc w:val="left"/>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3</w:t>
      </w:r>
      <w:r>
        <w:rPr>
          <w:rFonts w:hint="eastAsia" w:ascii="宋体" w:hAnsi="宋体" w:eastAsia="宋体" w:cs="宋体"/>
        </w:rPr>
        <w:t>） 应具备针对电力行业专用协议（如IEC 104、Modbus等）的深度解析与异常行为检测能力。</w:t>
      </w:r>
    </w:p>
    <w:p>
      <w:pPr>
        <w:numPr>
          <w:ilvl w:val="0"/>
          <w:numId w:val="0"/>
        </w:numPr>
        <w:adjustRightInd w:val="0"/>
        <w:snapToGrid w:val="0"/>
        <w:spacing w:line="360" w:lineRule="auto"/>
        <w:ind w:leftChars="400"/>
        <w:jc w:val="left"/>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4</w:t>
      </w:r>
      <w:r>
        <w:rPr>
          <w:rFonts w:hint="eastAsia" w:ascii="宋体" w:hAnsi="宋体" w:eastAsia="宋体" w:cs="宋体"/>
        </w:rPr>
        <w:t>） 应能够检测并告警勒索病毒、挖矿木马、APT攻击等新型威胁。</w:t>
      </w:r>
    </w:p>
    <w:p>
      <w:pPr>
        <w:numPr>
          <w:ilvl w:val="0"/>
          <w:numId w:val="0"/>
        </w:numPr>
        <w:adjustRightInd w:val="0"/>
        <w:snapToGrid w:val="0"/>
        <w:spacing w:line="360" w:lineRule="auto"/>
        <w:ind w:leftChars="400"/>
        <w:jc w:val="left"/>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5</w:t>
      </w:r>
      <w:r>
        <w:rPr>
          <w:rFonts w:hint="eastAsia" w:ascii="宋体" w:hAnsi="宋体" w:eastAsia="宋体" w:cs="宋体"/>
        </w:rPr>
        <w:t>）签名/特征检测：基于已知攻击模式（签名）的检测。这是基础功能，能有效识别已知的恶意软件、漏洞利用和攻击手法。</w:t>
      </w:r>
    </w:p>
    <w:p>
      <w:pPr>
        <w:numPr>
          <w:ilvl w:val="0"/>
          <w:numId w:val="0"/>
        </w:numPr>
        <w:adjustRightInd w:val="0"/>
        <w:snapToGrid w:val="0"/>
        <w:spacing w:line="360" w:lineRule="auto"/>
        <w:ind w:leftChars="400"/>
        <w:jc w:val="left"/>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6</w:t>
      </w:r>
      <w:r>
        <w:rPr>
          <w:rFonts w:hint="eastAsia" w:ascii="宋体" w:hAnsi="宋体" w:eastAsia="宋体" w:cs="宋体"/>
        </w:rPr>
        <w:t>）异常行为检测：建立系统或网络的“正常行为”基线，并识别偏离该基线的异常活动。用于发现未知攻击或内部威胁。</w:t>
      </w:r>
    </w:p>
    <w:p>
      <w:pPr>
        <w:numPr>
          <w:ilvl w:val="0"/>
          <w:numId w:val="0"/>
        </w:numPr>
        <w:adjustRightInd w:val="0"/>
        <w:snapToGrid w:val="0"/>
        <w:spacing w:line="360" w:lineRule="auto"/>
        <w:ind w:leftChars="400"/>
        <w:jc w:val="left"/>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7</w:t>
      </w:r>
      <w:r>
        <w:rPr>
          <w:rFonts w:hint="eastAsia" w:ascii="宋体" w:hAnsi="宋体" w:eastAsia="宋体" w:cs="宋体"/>
        </w:rPr>
        <w:t>）协议分析：深度解析网络协议（如HTTP, DNS, FTP, TCP/IP等），识别违反协议标准或利用协议漏洞的攻击行为。</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lang w:val="en-US" w:eastAsia="zh-CN"/>
        </w:rPr>
        <w:t>5.</w:t>
      </w:r>
      <w:r>
        <w:rPr>
          <w:rFonts w:hint="eastAsia" w:ascii="宋体" w:hAnsi="宋体" w:eastAsia="宋体" w:cs="宋体"/>
        </w:rPr>
        <w:t>2.2性能与部署</w:t>
      </w:r>
    </w:p>
    <w:p>
      <w:pPr>
        <w:numPr>
          <w:ilvl w:val="0"/>
          <w:numId w:val="0"/>
        </w:numPr>
        <w:adjustRightInd w:val="0"/>
        <w:snapToGrid w:val="0"/>
        <w:spacing w:line="360" w:lineRule="auto"/>
        <w:ind w:leftChars="400"/>
        <w:jc w:val="left"/>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1</w:t>
      </w:r>
      <w:r>
        <w:rPr>
          <w:rFonts w:hint="eastAsia" w:ascii="宋体" w:hAnsi="宋体" w:eastAsia="宋体" w:cs="宋体"/>
        </w:rPr>
        <w:t>）设备应具备线速处理能力，在最大负载下不丢包。</w:t>
      </w:r>
    </w:p>
    <w:p>
      <w:pPr>
        <w:numPr>
          <w:ilvl w:val="0"/>
          <w:numId w:val="0"/>
        </w:numPr>
        <w:adjustRightInd w:val="0"/>
        <w:snapToGrid w:val="0"/>
        <w:spacing w:line="360" w:lineRule="auto"/>
        <w:ind w:leftChars="400"/>
        <w:jc w:val="left"/>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2</w:t>
      </w:r>
      <w:r>
        <w:rPr>
          <w:rFonts w:hint="eastAsia" w:ascii="宋体" w:hAnsi="宋体" w:eastAsia="宋体" w:cs="宋体"/>
        </w:rPr>
        <w:t>）应支持旁路镜像部署，不影响现有网络业务连续性。</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lang w:val="en-US" w:eastAsia="zh-CN"/>
        </w:rPr>
        <w:t>5.</w:t>
      </w:r>
      <w:r>
        <w:rPr>
          <w:rFonts w:hint="eastAsia" w:ascii="宋体" w:hAnsi="宋体" w:eastAsia="宋体" w:cs="宋体"/>
        </w:rPr>
        <w:t>2.3分析与日志报告</w:t>
      </w:r>
    </w:p>
    <w:p>
      <w:pPr>
        <w:numPr>
          <w:ilvl w:val="0"/>
          <w:numId w:val="0"/>
        </w:numPr>
        <w:adjustRightInd w:val="0"/>
        <w:snapToGrid w:val="0"/>
        <w:spacing w:line="360" w:lineRule="auto"/>
        <w:ind w:leftChars="400"/>
        <w:jc w:val="left"/>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1</w:t>
      </w:r>
      <w:r>
        <w:rPr>
          <w:rFonts w:hint="eastAsia" w:ascii="宋体" w:hAnsi="宋体" w:eastAsia="宋体" w:cs="宋体"/>
        </w:rPr>
        <w:t>）事件关联与分析：能将多个相关事件关联起来，识别复杂的、多步骤的攻击链，而非孤立地看待单个警报。</w:t>
      </w:r>
    </w:p>
    <w:p>
      <w:pPr>
        <w:numPr>
          <w:ilvl w:val="0"/>
          <w:numId w:val="0"/>
        </w:numPr>
        <w:adjustRightInd w:val="0"/>
        <w:snapToGrid w:val="0"/>
        <w:spacing w:line="360" w:lineRule="auto"/>
        <w:ind w:leftChars="400"/>
        <w:jc w:val="left"/>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2</w:t>
      </w:r>
      <w:r>
        <w:rPr>
          <w:rFonts w:hint="eastAsia" w:ascii="宋体" w:hAnsi="宋体" w:eastAsia="宋体" w:cs="宋体"/>
        </w:rPr>
        <w:t>）日志记录与存储：详细记录所有安全事件、警报和原始数据包（可选），用于事后取证、审计和合规性检查。</w:t>
      </w:r>
    </w:p>
    <w:p>
      <w:pPr>
        <w:numPr>
          <w:ilvl w:val="0"/>
          <w:numId w:val="0"/>
        </w:numPr>
        <w:adjustRightInd w:val="0"/>
        <w:snapToGrid w:val="0"/>
        <w:spacing w:line="360" w:lineRule="auto"/>
        <w:ind w:leftChars="400"/>
        <w:jc w:val="left"/>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3</w:t>
      </w:r>
      <w:r>
        <w:rPr>
          <w:rFonts w:hint="eastAsia" w:ascii="宋体" w:hAnsi="宋体" w:eastAsia="宋体" w:cs="宋体"/>
        </w:rPr>
        <w:t>）可视化与报告：通过仪表板、图表等形式直观展示安全态势、威胁趋势和警报统计。生成定制化的合规报告（如PCI-DSS， HIPAA）。</w:t>
      </w:r>
    </w:p>
    <w:p>
      <w:pPr>
        <w:adjustRightInd w:val="0"/>
        <w:snapToGrid w:val="0"/>
        <w:spacing w:line="360" w:lineRule="auto"/>
        <w:ind w:left="560" w:firstLine="480"/>
        <w:outlineLvl w:val="1"/>
        <w:rPr>
          <w:rFonts w:hint="eastAsia" w:ascii="宋体" w:hAnsi="宋体" w:eastAsia="宋体" w:cs="宋体"/>
          <w:b/>
          <w:bCs/>
        </w:rPr>
      </w:pPr>
      <w:r>
        <w:rPr>
          <w:rFonts w:hint="eastAsia" w:ascii="宋体" w:hAnsi="宋体" w:eastAsia="宋体" w:cs="宋体"/>
          <w:b/>
          <w:bCs/>
          <w:lang w:val="en-US" w:eastAsia="zh-CN"/>
        </w:rPr>
        <w:t>5.</w:t>
      </w:r>
      <w:r>
        <w:rPr>
          <w:rFonts w:hint="eastAsia" w:ascii="宋体" w:hAnsi="宋体" w:eastAsia="宋体" w:cs="宋体"/>
          <w:b/>
          <w:bCs/>
        </w:rPr>
        <w:t>3日志审计</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日志审计系统：在安全二区部署日志审计系统，接入二区工作站服务器，同时通过一二区防火墙接入一区工作站服务器。实现对电力监控系统服务器、工作站的安全取证与时间溯源。</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lang w:val="en-US" w:eastAsia="zh-CN"/>
        </w:rPr>
        <w:t>5.</w:t>
      </w:r>
      <w:r>
        <w:rPr>
          <w:rFonts w:hint="eastAsia" w:ascii="宋体" w:hAnsi="宋体" w:eastAsia="宋体" w:cs="宋体"/>
        </w:rPr>
        <w:t>3.1 日志采集能力</w:t>
      </w:r>
    </w:p>
    <w:p>
      <w:pPr>
        <w:numPr>
          <w:ilvl w:val="0"/>
          <w:numId w:val="0"/>
        </w:numPr>
        <w:adjustRightInd w:val="0"/>
        <w:snapToGrid w:val="0"/>
        <w:spacing w:line="360" w:lineRule="auto"/>
        <w:ind w:leftChars="400"/>
        <w:jc w:val="left"/>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1</w:t>
      </w:r>
      <w:r>
        <w:rPr>
          <w:rFonts w:hint="eastAsia" w:ascii="宋体" w:hAnsi="宋体" w:eastAsia="宋体" w:cs="宋体"/>
        </w:rPr>
        <w:t>）应支持通过Syslog、SNMP、Agent、JDBC/ODBC、文件解析等多种方式采集日志。</w:t>
      </w:r>
    </w:p>
    <w:p>
      <w:pPr>
        <w:numPr>
          <w:ilvl w:val="0"/>
          <w:numId w:val="0"/>
        </w:numPr>
        <w:adjustRightInd w:val="0"/>
        <w:snapToGrid w:val="0"/>
        <w:spacing w:line="360" w:lineRule="auto"/>
        <w:ind w:leftChars="400"/>
        <w:jc w:val="left"/>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2</w:t>
      </w:r>
      <w:r>
        <w:rPr>
          <w:rFonts w:hint="eastAsia" w:ascii="宋体" w:hAnsi="宋体" w:eastAsia="宋体" w:cs="宋体"/>
        </w:rPr>
        <w:t>） 应支持对主流厂商的网络设备、安全设备、操作系统（Windows/Linux/国产麒麟/凝思等）、数据库（Oracle/MySQL/SQL Server等）及电力专用业务应用的日志进行解析和归一化。</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lang w:val="en-US" w:eastAsia="zh-CN"/>
        </w:rPr>
        <w:t>5.</w:t>
      </w:r>
      <w:r>
        <w:rPr>
          <w:rFonts w:hint="eastAsia" w:ascii="宋体" w:hAnsi="宋体" w:eastAsia="宋体" w:cs="宋体"/>
        </w:rPr>
        <w:t>3.2 日志存储与分析</w:t>
      </w:r>
    </w:p>
    <w:p>
      <w:pPr>
        <w:numPr>
          <w:ilvl w:val="0"/>
          <w:numId w:val="0"/>
        </w:numPr>
        <w:adjustRightInd w:val="0"/>
        <w:snapToGrid w:val="0"/>
        <w:spacing w:line="360" w:lineRule="auto"/>
        <w:ind w:leftChars="400"/>
        <w:jc w:val="left"/>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1</w:t>
      </w:r>
      <w:r>
        <w:rPr>
          <w:rFonts w:hint="eastAsia" w:ascii="宋体" w:hAnsi="宋体" w:eastAsia="宋体" w:cs="宋体"/>
        </w:rPr>
        <w:t>）应提供海量日志的分布式存储与检索能力，存储时间不少于12个月。</w:t>
      </w:r>
    </w:p>
    <w:p>
      <w:pPr>
        <w:numPr>
          <w:ilvl w:val="0"/>
          <w:numId w:val="0"/>
        </w:numPr>
        <w:adjustRightInd w:val="0"/>
        <w:snapToGrid w:val="0"/>
        <w:spacing w:line="360" w:lineRule="auto"/>
        <w:ind w:leftChars="400"/>
        <w:jc w:val="left"/>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2</w:t>
      </w:r>
      <w:r>
        <w:rPr>
          <w:rFonts w:hint="eastAsia" w:ascii="宋体" w:hAnsi="宋体" w:eastAsia="宋体" w:cs="宋体"/>
        </w:rPr>
        <w:t>）应具备基于规则的实时关联分析能力，能发现复杂的攻击链条和安全威胁。</w:t>
      </w:r>
    </w:p>
    <w:p>
      <w:pPr>
        <w:numPr>
          <w:ilvl w:val="0"/>
          <w:numId w:val="0"/>
        </w:numPr>
        <w:adjustRightInd w:val="0"/>
        <w:snapToGrid w:val="0"/>
        <w:spacing w:line="360" w:lineRule="auto"/>
        <w:ind w:leftChars="400"/>
        <w:jc w:val="left"/>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3</w:t>
      </w:r>
      <w:r>
        <w:rPr>
          <w:rFonts w:hint="eastAsia" w:ascii="宋体" w:hAnsi="宋体" w:eastAsia="宋体" w:cs="宋体"/>
        </w:rPr>
        <w:t>）应内置丰富的电力监控系统安全审计场景规则库。d) 应支持生成符合电力行业要求的各类安全报表。</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lang w:val="en-US" w:eastAsia="zh-CN"/>
        </w:rPr>
        <w:t>5.</w:t>
      </w:r>
      <w:r>
        <w:rPr>
          <w:rFonts w:hint="eastAsia" w:ascii="宋体" w:hAnsi="宋体" w:eastAsia="宋体" w:cs="宋体"/>
        </w:rPr>
        <w:t>3.3 审计与告警</w:t>
      </w:r>
    </w:p>
    <w:p>
      <w:pPr>
        <w:numPr>
          <w:ilvl w:val="0"/>
          <w:numId w:val="0"/>
        </w:numPr>
        <w:adjustRightInd w:val="0"/>
        <w:snapToGrid w:val="0"/>
        <w:spacing w:line="360" w:lineRule="auto"/>
        <w:ind w:leftChars="400"/>
        <w:jc w:val="left"/>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1</w:t>
      </w:r>
      <w:r>
        <w:rPr>
          <w:rFonts w:hint="eastAsia" w:ascii="宋体" w:hAnsi="宋体" w:eastAsia="宋体" w:cs="宋体"/>
        </w:rPr>
        <w:t>）应提供完整的日志查询和审计界面，支持多条件组合检索。</w:t>
      </w:r>
    </w:p>
    <w:p>
      <w:pPr>
        <w:numPr>
          <w:ilvl w:val="0"/>
          <w:numId w:val="0"/>
        </w:numPr>
        <w:adjustRightInd w:val="0"/>
        <w:snapToGrid w:val="0"/>
        <w:spacing w:line="360" w:lineRule="auto"/>
        <w:ind w:leftChars="400"/>
        <w:jc w:val="left"/>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2</w:t>
      </w:r>
      <w:r>
        <w:rPr>
          <w:rFonts w:hint="eastAsia" w:ascii="宋体" w:hAnsi="宋体" w:eastAsia="宋体" w:cs="宋体"/>
        </w:rPr>
        <w:t>）对重要安全事件（如违规登录、策略变更、数据篡改等）应能实时告警，并提供声光、界面、短信/邮件等多种告警方式。</w:t>
      </w:r>
    </w:p>
    <w:p>
      <w:pPr>
        <w:numPr>
          <w:ilvl w:val="0"/>
          <w:numId w:val="0"/>
        </w:numPr>
        <w:adjustRightInd w:val="0"/>
        <w:snapToGrid w:val="0"/>
        <w:spacing w:line="360" w:lineRule="auto"/>
        <w:ind w:leftChars="400"/>
        <w:jc w:val="left"/>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3</w:t>
      </w:r>
      <w:r>
        <w:rPr>
          <w:rFonts w:hint="eastAsia" w:ascii="宋体" w:hAnsi="宋体" w:eastAsia="宋体" w:cs="宋体"/>
        </w:rPr>
        <w:t>）应支持将告警事件和统计报表上传至上级网络安全监测平台。</w:t>
      </w:r>
    </w:p>
    <w:p>
      <w:pPr>
        <w:adjustRightInd w:val="0"/>
        <w:snapToGrid w:val="0"/>
        <w:spacing w:line="360" w:lineRule="auto"/>
        <w:ind w:left="560" w:firstLine="480"/>
        <w:outlineLvl w:val="1"/>
        <w:rPr>
          <w:rFonts w:hint="eastAsia" w:ascii="宋体" w:hAnsi="宋体" w:eastAsia="宋体" w:cs="宋体"/>
          <w:b/>
          <w:bCs/>
        </w:rPr>
      </w:pPr>
      <w:r>
        <w:rPr>
          <w:rFonts w:hint="eastAsia" w:ascii="宋体" w:hAnsi="宋体" w:eastAsia="宋体" w:cs="宋体"/>
          <w:b/>
          <w:bCs/>
          <w:lang w:val="en-US" w:eastAsia="zh-CN"/>
        </w:rPr>
        <w:t>5.</w:t>
      </w:r>
      <w:r>
        <w:rPr>
          <w:rFonts w:hint="eastAsia" w:ascii="宋体" w:hAnsi="宋体" w:eastAsia="宋体" w:cs="宋体"/>
          <w:b/>
          <w:bCs/>
        </w:rPr>
        <w:t>4</w:t>
      </w:r>
      <w:r>
        <w:rPr>
          <w:rFonts w:hint="eastAsia" w:ascii="宋体" w:hAnsi="宋体" w:eastAsia="宋体" w:cs="宋体"/>
          <w:b/>
          <w:bCs/>
          <w:lang w:val="en-US" w:eastAsia="zh-CN"/>
        </w:rPr>
        <w:t xml:space="preserve"> </w:t>
      </w:r>
      <w:r>
        <w:rPr>
          <w:rFonts w:hint="eastAsia" w:ascii="宋体" w:hAnsi="宋体" w:eastAsia="宋体" w:cs="宋体"/>
          <w:b/>
          <w:bCs/>
        </w:rPr>
        <w:t>USB隔离装置</w:t>
      </w:r>
    </w:p>
    <w:p>
      <w:pPr>
        <w:numPr>
          <w:ilvl w:val="0"/>
          <w:numId w:val="0"/>
        </w:numPr>
        <w:adjustRightInd w:val="0"/>
        <w:snapToGrid w:val="0"/>
        <w:spacing w:line="360" w:lineRule="auto"/>
        <w:ind w:leftChars="400"/>
        <w:jc w:val="left"/>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1</w:t>
      </w:r>
      <w:r>
        <w:rPr>
          <w:rFonts w:hint="eastAsia" w:ascii="宋体" w:hAnsi="宋体" w:eastAsia="宋体" w:cs="宋体"/>
        </w:rPr>
        <w:t>）准入控制：支持白名单管控，仅允许经过管理平台授权认证的USB介质接入。</w:t>
      </w:r>
    </w:p>
    <w:p>
      <w:pPr>
        <w:numPr>
          <w:ilvl w:val="0"/>
          <w:numId w:val="0"/>
        </w:numPr>
        <w:adjustRightInd w:val="0"/>
        <w:snapToGrid w:val="0"/>
        <w:spacing w:line="360" w:lineRule="auto"/>
        <w:ind w:leftChars="400"/>
        <w:jc w:val="left"/>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2</w:t>
      </w:r>
      <w:r>
        <w:rPr>
          <w:rFonts w:hint="eastAsia" w:ascii="宋体" w:hAnsi="宋体" w:eastAsia="宋体" w:cs="宋体"/>
        </w:rPr>
        <w:t>）病毒查杀：在数据读写前，自动调用内置杀毒引擎（病毒库≥900万种）对USB介质进行扫描，发现病毒立即隔离并告警。</w:t>
      </w:r>
    </w:p>
    <w:p>
      <w:pPr>
        <w:numPr>
          <w:ilvl w:val="0"/>
          <w:numId w:val="0"/>
        </w:numPr>
        <w:adjustRightInd w:val="0"/>
        <w:snapToGrid w:val="0"/>
        <w:spacing w:line="360" w:lineRule="auto"/>
        <w:ind w:leftChars="400"/>
        <w:jc w:val="left"/>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3</w:t>
      </w:r>
      <w:r>
        <w:rPr>
          <w:rFonts w:hint="eastAsia" w:ascii="宋体" w:hAnsi="宋体" w:eastAsia="宋体" w:cs="宋体"/>
        </w:rPr>
        <w:t>）内容过滤：支持文件类型、大小、后缀名等过滤策略，阻断高风险文件传入。</w:t>
      </w:r>
    </w:p>
    <w:p>
      <w:pPr>
        <w:numPr>
          <w:ilvl w:val="0"/>
          <w:numId w:val="0"/>
        </w:numPr>
        <w:adjustRightInd w:val="0"/>
        <w:snapToGrid w:val="0"/>
        <w:spacing w:line="360" w:lineRule="auto"/>
        <w:ind w:leftChars="400"/>
        <w:jc w:val="left"/>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4</w:t>
      </w:r>
      <w:r>
        <w:rPr>
          <w:rFonts w:hint="eastAsia" w:ascii="宋体" w:hAnsi="宋体" w:eastAsia="宋体" w:cs="宋体"/>
        </w:rPr>
        <w:t>）权限控制：可对USB介质设置只读、读写加密等细粒度访问权限。</w:t>
      </w:r>
    </w:p>
    <w:p>
      <w:pPr>
        <w:numPr>
          <w:ilvl w:val="0"/>
          <w:numId w:val="0"/>
        </w:numPr>
        <w:adjustRightInd w:val="0"/>
        <w:snapToGrid w:val="0"/>
        <w:spacing w:line="360" w:lineRule="auto"/>
        <w:ind w:leftChars="400"/>
        <w:jc w:val="left"/>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5</w:t>
      </w:r>
      <w:r>
        <w:rPr>
          <w:rFonts w:hint="eastAsia" w:ascii="宋体" w:hAnsi="宋体" w:eastAsia="宋体" w:cs="宋体"/>
        </w:rPr>
        <w:t>）安全审计：详细记录本机USB设备的所有操作日志，并实时上传至管理平台。</w:t>
      </w:r>
    </w:p>
    <w:p>
      <w:pPr>
        <w:numPr>
          <w:ilvl w:val="0"/>
          <w:numId w:val="0"/>
        </w:numPr>
        <w:adjustRightInd w:val="0"/>
        <w:snapToGrid w:val="0"/>
        <w:spacing w:line="360" w:lineRule="auto"/>
        <w:ind w:leftChars="400"/>
        <w:jc w:val="left"/>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6</w:t>
      </w:r>
      <w:r>
        <w:rPr>
          <w:rFonts w:hint="eastAsia" w:ascii="宋体" w:hAnsi="宋体" w:eastAsia="宋体" w:cs="宋体"/>
        </w:rPr>
        <w:t>）本体安全：装置本身应加固，关闭非必要服务和端口，无无线模块，杜绝后门。</w:t>
      </w:r>
    </w:p>
    <w:p>
      <w:pPr>
        <w:adjustRightInd w:val="0"/>
        <w:snapToGrid w:val="0"/>
        <w:spacing w:line="360" w:lineRule="auto"/>
        <w:ind w:left="560" w:firstLine="480"/>
        <w:outlineLvl w:val="1"/>
        <w:rPr>
          <w:rFonts w:hint="eastAsia" w:ascii="宋体" w:hAnsi="宋体" w:eastAsia="宋体" w:cs="宋体"/>
          <w:b/>
          <w:bCs/>
        </w:rPr>
      </w:pPr>
      <w:r>
        <w:rPr>
          <w:rFonts w:hint="eastAsia" w:ascii="宋体" w:hAnsi="宋体" w:eastAsia="宋体" w:cs="宋体"/>
          <w:b/>
          <w:bCs/>
          <w:lang w:val="en-US" w:eastAsia="zh-CN"/>
        </w:rPr>
        <w:t>5.</w:t>
      </w:r>
      <w:r>
        <w:rPr>
          <w:rFonts w:hint="eastAsia" w:ascii="宋体" w:hAnsi="宋体" w:eastAsia="宋体" w:cs="宋体"/>
          <w:b/>
          <w:bCs/>
        </w:rPr>
        <w:t>5</w:t>
      </w:r>
      <w:r>
        <w:rPr>
          <w:rFonts w:hint="eastAsia" w:ascii="宋体" w:hAnsi="宋体" w:eastAsia="宋体" w:cs="宋体"/>
          <w:b/>
          <w:bCs/>
          <w:lang w:val="en-US" w:eastAsia="zh-CN"/>
        </w:rPr>
        <w:t xml:space="preserve"> </w:t>
      </w:r>
      <w:r>
        <w:rPr>
          <w:rFonts w:hint="eastAsia" w:ascii="宋体" w:hAnsi="宋体" w:eastAsia="宋体" w:cs="宋体"/>
          <w:b/>
          <w:bCs/>
        </w:rPr>
        <w:t>系统安全加固</w:t>
      </w:r>
    </w:p>
    <w:p>
      <w:pPr>
        <w:adjustRightInd w:val="0"/>
        <w:snapToGrid w:val="0"/>
        <w:spacing w:line="360" w:lineRule="auto"/>
        <w:ind w:left="560" w:firstLine="480"/>
        <w:rPr>
          <w:rFonts w:hint="eastAsia" w:ascii="宋体" w:hAnsi="宋体" w:eastAsia="宋体" w:cs="宋体"/>
        </w:rPr>
      </w:pPr>
      <w:r>
        <w:rPr>
          <w:rFonts w:hint="eastAsia" w:ascii="宋体" w:hAnsi="宋体" w:eastAsia="宋体" w:cs="宋体"/>
        </w:rPr>
        <w:t>系统安全加固：对安全一区与安全二区电力监控系统所在的工作站、服务器进行操作系统安全加固，通过最小化原则配置（关闭非必要服务与端口，削减攻击面）、强制访问控制（集成 SELinux 或 AppArmor等模块，实现进程与文件的强制权限约束）、身份鉴别强化（采用多因子认证与高强度密码策略）、安全策略统一管理（集中配置防火墙、审计规则与入侵防护策略）实现从内核到应用层的系统性防护。</w:t>
      </w:r>
    </w:p>
    <w:p>
      <w:pPr>
        <w:adjustRightInd w:val="0"/>
        <w:snapToGrid w:val="0"/>
        <w:spacing w:line="360" w:lineRule="auto"/>
        <w:ind w:left="560" w:firstLine="480"/>
        <w:outlineLvl w:val="1"/>
        <w:rPr>
          <w:rFonts w:hint="eastAsia" w:ascii="宋体" w:hAnsi="宋体" w:eastAsia="宋体" w:cs="宋体"/>
          <w:b/>
          <w:bCs/>
        </w:rPr>
      </w:pPr>
      <w:r>
        <w:rPr>
          <w:rFonts w:hint="eastAsia" w:ascii="宋体" w:hAnsi="宋体" w:eastAsia="宋体" w:cs="宋体"/>
          <w:b/>
          <w:bCs/>
          <w:lang w:val="en-US" w:eastAsia="zh-CN"/>
        </w:rPr>
        <w:t>5.6网络安全监测装置</w:t>
      </w:r>
    </w:p>
    <w:p>
      <w:pPr>
        <w:adjustRightInd w:val="0"/>
        <w:snapToGrid w:val="0"/>
        <w:spacing w:line="360" w:lineRule="auto"/>
        <w:ind w:left="560" w:leftChars="0" w:firstLine="480" w:firstLineChars="0"/>
        <w:outlineLvl w:val="9"/>
        <w:rPr>
          <w:rFonts w:hint="eastAsia" w:ascii="宋体" w:hAnsi="宋体" w:eastAsia="宋体" w:cs="宋体"/>
          <w:b w:val="0"/>
          <w:bCs w:val="0"/>
        </w:rPr>
      </w:pPr>
      <w:bookmarkStart w:id="346" w:name="_Toc497125289"/>
      <w:r>
        <w:rPr>
          <w:rFonts w:hint="eastAsia" w:ascii="宋体" w:hAnsi="宋体" w:eastAsia="宋体" w:cs="宋体"/>
          <w:b w:val="0"/>
          <w:bCs w:val="0"/>
          <w:lang w:eastAsia="zh-CN"/>
        </w:rPr>
        <w:t>5.6</w:t>
      </w:r>
      <w:r>
        <w:rPr>
          <w:rFonts w:hint="eastAsia" w:ascii="宋体" w:hAnsi="宋体" w:eastAsia="宋体" w:cs="宋体"/>
          <w:b w:val="0"/>
          <w:bCs w:val="0"/>
        </w:rPr>
        <w:t>.1数据采集</w:t>
      </w:r>
      <w:bookmarkEnd w:id="346"/>
    </w:p>
    <w:p>
      <w:pPr>
        <w:adjustRightInd w:val="0"/>
        <w:snapToGrid w:val="0"/>
        <w:spacing w:line="360" w:lineRule="auto"/>
        <w:ind w:left="560" w:leftChars="0" w:firstLine="480" w:firstLineChars="0"/>
        <w:outlineLvl w:val="9"/>
        <w:rPr>
          <w:rFonts w:hint="eastAsia" w:ascii="宋体" w:hAnsi="宋体" w:eastAsia="宋体" w:cs="宋体"/>
          <w:b w:val="0"/>
          <w:bCs w:val="0"/>
        </w:rPr>
      </w:pPr>
      <w:r>
        <w:rPr>
          <w:rFonts w:hint="eastAsia" w:ascii="宋体" w:hAnsi="宋体" w:eastAsia="宋体" w:cs="宋体"/>
          <w:b w:val="0"/>
          <w:bCs w:val="0"/>
        </w:rPr>
        <w:t>支持对变电站站控层或发电厂涉网生产控制大区内的服务器、工作站、网络设备（交换机）、安全防护设备等监测对象进行数据采集；</w:t>
      </w:r>
    </w:p>
    <w:p>
      <w:pPr>
        <w:adjustRightInd w:val="0"/>
        <w:snapToGrid w:val="0"/>
        <w:spacing w:line="360" w:lineRule="auto"/>
        <w:ind w:left="560" w:leftChars="0" w:firstLine="480" w:firstLineChars="0"/>
        <w:outlineLvl w:val="9"/>
        <w:rPr>
          <w:rFonts w:hint="eastAsia" w:ascii="宋体" w:hAnsi="宋体" w:eastAsia="宋体" w:cs="宋体"/>
          <w:b w:val="0"/>
          <w:bCs w:val="0"/>
        </w:rPr>
      </w:pPr>
      <w:r>
        <w:rPr>
          <w:rFonts w:hint="eastAsia" w:ascii="宋体" w:hAnsi="宋体" w:eastAsia="宋体" w:cs="宋体"/>
          <w:b w:val="0"/>
          <w:bCs w:val="0"/>
        </w:rPr>
        <w:t>支持采集服务器、工作站的用户登录、操作信息、运行状态、移动存储设备接入、网络外联等事件信息；</w:t>
      </w:r>
    </w:p>
    <w:p>
      <w:pPr>
        <w:adjustRightInd w:val="0"/>
        <w:snapToGrid w:val="0"/>
        <w:spacing w:line="360" w:lineRule="auto"/>
        <w:ind w:left="560" w:leftChars="0" w:firstLine="480" w:firstLineChars="0"/>
        <w:outlineLvl w:val="9"/>
        <w:rPr>
          <w:rFonts w:hint="eastAsia" w:ascii="宋体" w:hAnsi="宋体" w:eastAsia="宋体" w:cs="宋体"/>
          <w:b w:val="0"/>
          <w:bCs w:val="0"/>
        </w:rPr>
      </w:pPr>
      <w:r>
        <w:rPr>
          <w:rFonts w:hint="eastAsia" w:ascii="宋体" w:hAnsi="宋体" w:eastAsia="宋体" w:cs="宋体"/>
          <w:b w:val="0"/>
          <w:bCs w:val="0"/>
        </w:rPr>
        <w:t>支持采集网络设备的用户登录、操作信息、配置变更信、流量信息、网口状态信息等事件信息；</w:t>
      </w:r>
    </w:p>
    <w:p>
      <w:pPr>
        <w:adjustRightInd w:val="0"/>
        <w:snapToGrid w:val="0"/>
        <w:spacing w:line="360" w:lineRule="auto"/>
        <w:ind w:left="560" w:leftChars="0" w:firstLine="480" w:firstLineChars="0"/>
        <w:outlineLvl w:val="9"/>
        <w:rPr>
          <w:rFonts w:hint="eastAsia" w:ascii="宋体" w:hAnsi="宋体" w:eastAsia="宋体" w:cs="宋体"/>
          <w:b w:val="0"/>
          <w:bCs w:val="0"/>
        </w:rPr>
      </w:pPr>
      <w:r>
        <w:rPr>
          <w:rFonts w:hint="eastAsia" w:ascii="宋体" w:hAnsi="宋体" w:eastAsia="宋体" w:cs="宋体"/>
          <w:b w:val="0"/>
          <w:bCs w:val="0"/>
        </w:rPr>
        <w:t>支持采集安全防护设备的用户登录、配置变更、运行状态、安全事件信息等事件信息；</w:t>
      </w:r>
    </w:p>
    <w:p>
      <w:pPr>
        <w:adjustRightInd w:val="0"/>
        <w:snapToGrid w:val="0"/>
        <w:spacing w:line="360" w:lineRule="auto"/>
        <w:ind w:left="560" w:leftChars="0" w:firstLine="480" w:firstLineChars="0"/>
        <w:outlineLvl w:val="9"/>
        <w:rPr>
          <w:rFonts w:hint="eastAsia" w:ascii="宋体" w:hAnsi="宋体" w:eastAsia="宋体" w:cs="宋体"/>
          <w:b w:val="0"/>
          <w:bCs w:val="0"/>
        </w:rPr>
      </w:pPr>
      <w:r>
        <w:rPr>
          <w:rFonts w:hint="eastAsia" w:ascii="宋体" w:hAnsi="宋体" w:eastAsia="宋体" w:cs="宋体"/>
          <w:b w:val="0"/>
          <w:bCs w:val="0"/>
        </w:rPr>
        <w:t>支持触发性事件信息的采集和周期性上送的状态类信息的采集；</w:t>
      </w:r>
    </w:p>
    <w:p>
      <w:pPr>
        <w:adjustRightInd w:val="0"/>
        <w:snapToGrid w:val="0"/>
        <w:spacing w:line="360" w:lineRule="auto"/>
        <w:ind w:left="560" w:leftChars="0" w:firstLine="480" w:firstLineChars="0"/>
        <w:outlineLvl w:val="9"/>
        <w:rPr>
          <w:rFonts w:hint="eastAsia" w:ascii="宋体" w:hAnsi="宋体" w:eastAsia="宋体" w:cs="宋体"/>
          <w:b w:val="0"/>
          <w:bCs w:val="0"/>
        </w:rPr>
      </w:pPr>
      <w:r>
        <w:rPr>
          <w:rFonts w:hint="eastAsia" w:ascii="宋体" w:hAnsi="宋体" w:eastAsia="宋体" w:cs="宋体"/>
          <w:b w:val="0"/>
          <w:bCs w:val="0"/>
        </w:rPr>
        <w:t>Ⅱ型网络安全监测装置支持的具体采集信息见附录A.1。</w:t>
      </w:r>
    </w:p>
    <w:p>
      <w:pPr>
        <w:adjustRightInd w:val="0"/>
        <w:snapToGrid w:val="0"/>
        <w:spacing w:line="360" w:lineRule="auto"/>
        <w:ind w:left="560" w:leftChars="0" w:firstLine="480" w:firstLineChars="0"/>
        <w:outlineLvl w:val="9"/>
        <w:rPr>
          <w:rFonts w:hint="eastAsia" w:ascii="宋体" w:hAnsi="宋体" w:eastAsia="宋体" w:cs="宋体"/>
          <w:b w:val="0"/>
          <w:bCs w:val="0"/>
        </w:rPr>
      </w:pPr>
      <w:bookmarkStart w:id="347" w:name="_Toc497125290"/>
      <w:r>
        <w:rPr>
          <w:rFonts w:hint="eastAsia" w:ascii="宋体" w:hAnsi="宋体" w:eastAsia="宋体" w:cs="宋体"/>
          <w:b w:val="0"/>
          <w:bCs w:val="0"/>
          <w:lang w:eastAsia="zh-CN"/>
        </w:rPr>
        <w:t>5.6</w:t>
      </w:r>
      <w:r>
        <w:rPr>
          <w:rFonts w:hint="eastAsia" w:ascii="宋体" w:hAnsi="宋体" w:eastAsia="宋体" w:cs="宋体"/>
          <w:b w:val="0"/>
          <w:bCs w:val="0"/>
        </w:rPr>
        <w:t>.2数据分析处理</w:t>
      </w:r>
      <w:bookmarkEnd w:id="347"/>
    </w:p>
    <w:p>
      <w:pPr>
        <w:adjustRightInd w:val="0"/>
        <w:snapToGrid w:val="0"/>
        <w:spacing w:line="360" w:lineRule="auto"/>
        <w:ind w:left="560" w:leftChars="0" w:firstLine="480" w:firstLineChars="0"/>
        <w:outlineLvl w:val="9"/>
        <w:rPr>
          <w:rFonts w:hint="eastAsia" w:ascii="宋体" w:hAnsi="宋体" w:eastAsia="宋体" w:cs="宋体"/>
          <w:b w:val="0"/>
          <w:bCs w:val="0"/>
        </w:rPr>
      </w:pPr>
      <w:r>
        <w:rPr>
          <w:rFonts w:hint="eastAsia" w:ascii="宋体" w:hAnsi="宋体" w:eastAsia="宋体" w:cs="宋体"/>
          <w:b w:val="0"/>
          <w:bCs w:val="0"/>
        </w:rPr>
        <w:t>支持以分钟级统计周期，对重复出现的事件进行归并处理；</w:t>
      </w:r>
    </w:p>
    <w:p>
      <w:pPr>
        <w:adjustRightInd w:val="0"/>
        <w:snapToGrid w:val="0"/>
        <w:spacing w:line="360" w:lineRule="auto"/>
        <w:ind w:left="560" w:leftChars="0" w:firstLine="480" w:firstLineChars="0"/>
        <w:outlineLvl w:val="9"/>
        <w:rPr>
          <w:rFonts w:hint="eastAsia" w:ascii="宋体" w:hAnsi="宋体" w:eastAsia="宋体" w:cs="宋体"/>
          <w:b w:val="0"/>
          <w:bCs w:val="0"/>
        </w:rPr>
      </w:pPr>
      <w:r>
        <w:rPr>
          <w:rFonts w:hint="eastAsia" w:ascii="宋体" w:hAnsi="宋体" w:eastAsia="宋体" w:cs="宋体"/>
          <w:b w:val="0"/>
          <w:bCs w:val="0"/>
        </w:rPr>
        <w:t>支持根据参数配置，对采集到的CPU利用率、内存使用率、网口流量、用户登录失败等信息进行分析处理，根据处理结果决定是否形成新的上报事件。</w:t>
      </w:r>
    </w:p>
    <w:p>
      <w:pPr>
        <w:adjustRightInd w:val="0"/>
        <w:snapToGrid w:val="0"/>
        <w:spacing w:line="360" w:lineRule="auto"/>
        <w:ind w:left="560" w:leftChars="0" w:firstLine="480" w:firstLineChars="0"/>
        <w:outlineLvl w:val="9"/>
        <w:rPr>
          <w:rFonts w:hint="eastAsia" w:ascii="宋体" w:hAnsi="宋体" w:eastAsia="宋体" w:cs="宋体"/>
          <w:b w:val="0"/>
          <w:bCs w:val="0"/>
        </w:rPr>
      </w:pPr>
      <w:bookmarkStart w:id="348" w:name="_Toc497125291"/>
      <w:r>
        <w:rPr>
          <w:rFonts w:hint="eastAsia" w:ascii="宋体" w:hAnsi="宋体" w:eastAsia="宋体" w:cs="宋体"/>
          <w:b w:val="0"/>
          <w:bCs w:val="0"/>
          <w:lang w:eastAsia="zh-CN"/>
        </w:rPr>
        <w:t>5.6</w:t>
      </w:r>
      <w:r>
        <w:rPr>
          <w:rFonts w:hint="eastAsia" w:ascii="宋体" w:hAnsi="宋体" w:eastAsia="宋体" w:cs="宋体"/>
          <w:b w:val="0"/>
          <w:bCs w:val="0"/>
        </w:rPr>
        <w:t>.3服务代理</w:t>
      </w:r>
      <w:bookmarkEnd w:id="348"/>
    </w:p>
    <w:p>
      <w:pPr>
        <w:adjustRightInd w:val="0"/>
        <w:snapToGrid w:val="0"/>
        <w:spacing w:line="360" w:lineRule="auto"/>
        <w:ind w:left="560" w:leftChars="0" w:firstLine="480" w:firstLineChars="0"/>
        <w:outlineLvl w:val="9"/>
        <w:rPr>
          <w:rFonts w:hint="eastAsia" w:ascii="宋体" w:hAnsi="宋体" w:eastAsia="宋体" w:cs="宋体"/>
          <w:b w:val="0"/>
          <w:bCs w:val="0"/>
        </w:rPr>
      </w:pPr>
      <w:r>
        <w:rPr>
          <w:rFonts w:hint="eastAsia" w:ascii="宋体" w:hAnsi="宋体" w:eastAsia="宋体" w:cs="宋体"/>
          <w:b w:val="0"/>
          <w:bCs w:val="0"/>
        </w:rPr>
        <w:t>网络安全监测装置以服务代理的形式提供服务给网络安全管理平台调用，服务代理满足如下功能：</w:t>
      </w:r>
    </w:p>
    <w:p>
      <w:pPr>
        <w:adjustRightInd w:val="0"/>
        <w:snapToGrid w:val="0"/>
        <w:spacing w:line="360" w:lineRule="auto"/>
        <w:ind w:left="560" w:leftChars="0" w:firstLine="480" w:firstLineChars="0"/>
        <w:outlineLvl w:val="9"/>
        <w:rPr>
          <w:rFonts w:hint="eastAsia" w:ascii="宋体" w:hAnsi="宋体" w:eastAsia="宋体" w:cs="宋体"/>
          <w:b w:val="0"/>
          <w:bCs w:val="0"/>
        </w:rPr>
      </w:pPr>
      <w:r>
        <w:rPr>
          <w:rFonts w:hint="eastAsia" w:ascii="宋体" w:hAnsi="宋体" w:eastAsia="宋体" w:cs="宋体"/>
          <w:b w:val="0"/>
          <w:bCs w:val="0"/>
        </w:rPr>
        <w:t>支持远程调阅采集信息、上传事件等数据信息，应支持根据时间段、设备类型、事件等级、事件记录个数等综合过滤条件远程调阅数据信息；</w:t>
      </w:r>
    </w:p>
    <w:p>
      <w:pPr>
        <w:adjustRightInd w:val="0"/>
        <w:snapToGrid w:val="0"/>
        <w:spacing w:line="360" w:lineRule="auto"/>
        <w:ind w:left="560" w:leftChars="0" w:firstLine="480" w:firstLineChars="0"/>
        <w:outlineLvl w:val="9"/>
        <w:rPr>
          <w:rFonts w:hint="eastAsia" w:ascii="宋体" w:hAnsi="宋体" w:eastAsia="宋体" w:cs="宋体"/>
          <w:b w:val="0"/>
          <w:bCs w:val="0"/>
        </w:rPr>
      </w:pPr>
      <w:r>
        <w:rPr>
          <w:rFonts w:hint="eastAsia" w:ascii="宋体" w:hAnsi="宋体" w:eastAsia="宋体" w:cs="宋体"/>
          <w:b w:val="0"/>
          <w:bCs w:val="0"/>
        </w:rPr>
        <w:t>支持对被监测系统内的资产进行远程管理，包括资产信息的添加、删除、修改、查看等；</w:t>
      </w:r>
    </w:p>
    <w:p>
      <w:pPr>
        <w:adjustRightInd w:val="0"/>
        <w:snapToGrid w:val="0"/>
        <w:spacing w:line="360" w:lineRule="auto"/>
        <w:ind w:left="560" w:leftChars="0" w:firstLine="480" w:firstLineChars="0"/>
        <w:outlineLvl w:val="9"/>
        <w:rPr>
          <w:rFonts w:hint="eastAsia" w:ascii="宋体" w:hAnsi="宋体" w:eastAsia="宋体" w:cs="宋体"/>
          <w:b w:val="0"/>
          <w:bCs w:val="0"/>
        </w:rPr>
      </w:pPr>
      <w:r>
        <w:rPr>
          <w:rFonts w:hint="eastAsia" w:ascii="宋体" w:hAnsi="宋体" w:eastAsia="宋体" w:cs="宋体"/>
          <w:b w:val="0"/>
          <w:bCs w:val="0"/>
        </w:rPr>
        <w:t>支持参数配置的远程管理，包括系统参数、通信参数及事件处理参数；</w:t>
      </w:r>
    </w:p>
    <w:p>
      <w:pPr>
        <w:adjustRightInd w:val="0"/>
        <w:snapToGrid w:val="0"/>
        <w:spacing w:line="360" w:lineRule="auto"/>
        <w:ind w:left="560" w:leftChars="0" w:firstLine="480" w:firstLineChars="0"/>
        <w:outlineLvl w:val="9"/>
        <w:rPr>
          <w:rFonts w:hint="eastAsia" w:ascii="宋体" w:hAnsi="宋体" w:eastAsia="宋体" w:cs="宋体"/>
          <w:b w:val="0"/>
          <w:bCs w:val="0"/>
        </w:rPr>
      </w:pPr>
      <w:r>
        <w:rPr>
          <w:rFonts w:hint="eastAsia" w:ascii="宋体" w:hAnsi="宋体" w:eastAsia="宋体" w:cs="宋体"/>
          <w:b w:val="0"/>
          <w:bCs w:val="0"/>
        </w:rPr>
        <w:t>支持通过代理方式实现对服务器、工作站等设备基线核查功能的调用；</w:t>
      </w:r>
    </w:p>
    <w:p>
      <w:pPr>
        <w:adjustRightInd w:val="0"/>
        <w:snapToGrid w:val="0"/>
        <w:spacing w:line="360" w:lineRule="auto"/>
        <w:ind w:left="560" w:leftChars="0" w:firstLine="480" w:firstLineChars="0"/>
        <w:outlineLvl w:val="9"/>
        <w:rPr>
          <w:rFonts w:hint="eastAsia" w:ascii="宋体" w:hAnsi="宋体" w:eastAsia="宋体" w:cs="宋体"/>
          <w:b w:val="0"/>
          <w:bCs w:val="0"/>
        </w:rPr>
      </w:pPr>
      <w:r>
        <w:rPr>
          <w:rFonts w:hint="eastAsia" w:ascii="宋体" w:hAnsi="宋体" w:eastAsia="宋体" w:cs="宋体"/>
          <w:b w:val="0"/>
          <w:bCs w:val="0"/>
        </w:rPr>
        <w:t>支持通过代理方式实现对服务器、工作站等设备主动断网命令的调用；</w:t>
      </w:r>
    </w:p>
    <w:p>
      <w:pPr>
        <w:adjustRightInd w:val="0"/>
        <w:snapToGrid w:val="0"/>
        <w:spacing w:line="360" w:lineRule="auto"/>
        <w:ind w:left="560" w:leftChars="0" w:firstLine="480" w:firstLineChars="0"/>
        <w:outlineLvl w:val="9"/>
        <w:rPr>
          <w:rFonts w:hint="eastAsia" w:ascii="宋体" w:hAnsi="宋体" w:eastAsia="宋体" w:cs="宋体"/>
          <w:b w:val="0"/>
          <w:bCs w:val="0"/>
        </w:rPr>
      </w:pPr>
      <w:r>
        <w:rPr>
          <w:rFonts w:hint="eastAsia" w:ascii="宋体" w:hAnsi="宋体" w:eastAsia="宋体" w:cs="宋体"/>
          <w:b w:val="0"/>
          <w:bCs w:val="0"/>
        </w:rPr>
        <w:t>支持通过代理方式实现对服务器、工作站等设备的关键文件清单、危险操作定义值、周期性事件上报周期等参数的添加、删除、修改、查看；</w:t>
      </w:r>
    </w:p>
    <w:p>
      <w:pPr>
        <w:adjustRightInd w:val="0"/>
        <w:snapToGrid w:val="0"/>
        <w:spacing w:line="360" w:lineRule="auto"/>
        <w:ind w:left="560" w:leftChars="0" w:firstLine="480" w:firstLineChars="0"/>
        <w:outlineLvl w:val="9"/>
        <w:rPr>
          <w:rFonts w:hint="eastAsia" w:ascii="宋体" w:hAnsi="宋体" w:eastAsia="宋体" w:cs="宋体"/>
          <w:b w:val="0"/>
          <w:bCs w:val="0"/>
        </w:rPr>
      </w:pPr>
      <w:r>
        <w:rPr>
          <w:rFonts w:hint="eastAsia" w:ascii="宋体" w:hAnsi="宋体" w:eastAsia="宋体" w:cs="宋体"/>
          <w:b w:val="0"/>
          <w:bCs w:val="0"/>
        </w:rPr>
        <w:t>支持通过网络安全管理平台对网络安全监测装置进行远程程序升级。</w:t>
      </w:r>
    </w:p>
    <w:p>
      <w:pPr>
        <w:adjustRightInd w:val="0"/>
        <w:snapToGrid w:val="0"/>
        <w:spacing w:line="360" w:lineRule="auto"/>
        <w:ind w:left="560" w:leftChars="0" w:firstLine="480" w:firstLineChars="0"/>
        <w:outlineLvl w:val="9"/>
        <w:rPr>
          <w:rFonts w:hint="eastAsia" w:ascii="宋体" w:hAnsi="宋体" w:eastAsia="宋体" w:cs="宋体"/>
          <w:b w:val="0"/>
          <w:bCs w:val="0"/>
        </w:rPr>
      </w:pPr>
      <w:bookmarkStart w:id="349" w:name="_Toc497125292"/>
      <w:r>
        <w:rPr>
          <w:rFonts w:hint="eastAsia" w:ascii="宋体" w:hAnsi="宋体" w:eastAsia="宋体" w:cs="宋体"/>
          <w:b w:val="0"/>
          <w:bCs w:val="0"/>
          <w:lang w:eastAsia="zh-CN"/>
        </w:rPr>
        <w:t>5.6</w:t>
      </w:r>
      <w:r>
        <w:rPr>
          <w:rFonts w:hint="eastAsia" w:ascii="宋体" w:hAnsi="宋体" w:eastAsia="宋体" w:cs="宋体"/>
          <w:b w:val="0"/>
          <w:bCs w:val="0"/>
        </w:rPr>
        <w:t>.4通信功能</w:t>
      </w:r>
      <w:bookmarkEnd w:id="349"/>
    </w:p>
    <w:p>
      <w:pPr>
        <w:adjustRightInd w:val="0"/>
        <w:snapToGrid w:val="0"/>
        <w:spacing w:line="360" w:lineRule="auto"/>
        <w:ind w:left="560" w:leftChars="0" w:firstLine="480" w:firstLineChars="0"/>
        <w:outlineLvl w:val="9"/>
        <w:rPr>
          <w:rFonts w:hint="eastAsia" w:ascii="宋体" w:hAnsi="宋体" w:eastAsia="宋体" w:cs="宋体"/>
          <w:b w:val="0"/>
          <w:bCs w:val="0"/>
        </w:rPr>
      </w:pPr>
      <w:r>
        <w:rPr>
          <w:rFonts w:hint="eastAsia" w:ascii="宋体" w:hAnsi="宋体" w:eastAsia="宋体" w:cs="宋体"/>
          <w:b w:val="0"/>
          <w:bCs w:val="0"/>
        </w:rPr>
        <w:t>与服务器、工作站设备通信</w:t>
      </w:r>
    </w:p>
    <w:p>
      <w:pPr>
        <w:adjustRightInd w:val="0"/>
        <w:snapToGrid w:val="0"/>
        <w:spacing w:line="360" w:lineRule="auto"/>
        <w:ind w:left="560" w:leftChars="0" w:firstLine="480" w:firstLineChars="0"/>
        <w:outlineLvl w:val="9"/>
        <w:rPr>
          <w:rFonts w:hint="eastAsia" w:ascii="宋体" w:hAnsi="宋体" w:eastAsia="宋体" w:cs="宋体"/>
          <w:b w:val="0"/>
          <w:bCs w:val="0"/>
        </w:rPr>
      </w:pPr>
      <w:r>
        <w:rPr>
          <w:rFonts w:hint="eastAsia" w:ascii="宋体" w:hAnsi="宋体" w:eastAsia="宋体" w:cs="宋体"/>
          <w:b w:val="0"/>
          <w:bCs w:val="0"/>
        </w:rPr>
        <w:t>支持采用自定义TCP协议与服务器、工作站等设备进行通信，实现对服务器、工作站等设备的信息采集与命令控制。报文格式包括报文头、报文体和报文尾三部分。</w:t>
      </w:r>
    </w:p>
    <w:p>
      <w:pPr>
        <w:adjustRightInd w:val="0"/>
        <w:snapToGrid w:val="0"/>
        <w:spacing w:line="360" w:lineRule="auto"/>
        <w:ind w:left="560" w:leftChars="0" w:firstLine="480" w:firstLineChars="0"/>
        <w:outlineLvl w:val="9"/>
        <w:rPr>
          <w:rFonts w:hint="eastAsia" w:ascii="宋体" w:hAnsi="宋体" w:eastAsia="宋体" w:cs="宋体"/>
          <w:b w:val="0"/>
          <w:bCs w:val="0"/>
        </w:rPr>
      </w:pPr>
      <w:r>
        <w:rPr>
          <w:rFonts w:hint="eastAsia" w:ascii="宋体" w:hAnsi="宋体" w:eastAsia="宋体" w:cs="宋体"/>
          <w:b w:val="0"/>
          <w:bCs w:val="0"/>
        </w:rPr>
        <w:t>与网络设备通信</w:t>
      </w:r>
    </w:p>
    <w:p>
      <w:pPr>
        <w:adjustRightInd w:val="0"/>
        <w:snapToGrid w:val="0"/>
        <w:spacing w:line="360" w:lineRule="auto"/>
        <w:ind w:left="560" w:leftChars="0" w:firstLine="480" w:firstLineChars="0"/>
        <w:outlineLvl w:val="9"/>
        <w:rPr>
          <w:rFonts w:hint="eastAsia" w:ascii="宋体" w:hAnsi="宋体" w:eastAsia="宋体" w:cs="宋体"/>
          <w:b w:val="0"/>
          <w:bCs w:val="0"/>
        </w:rPr>
      </w:pPr>
      <w:r>
        <w:rPr>
          <w:rFonts w:hint="eastAsia" w:ascii="宋体" w:hAnsi="宋体" w:eastAsia="宋体" w:cs="宋体"/>
          <w:b w:val="0"/>
          <w:bCs w:val="0"/>
        </w:rPr>
        <w:t>支持通过SNMP协议主动从交换机获取所需信息；</w:t>
      </w:r>
    </w:p>
    <w:p>
      <w:pPr>
        <w:adjustRightInd w:val="0"/>
        <w:snapToGrid w:val="0"/>
        <w:spacing w:line="360" w:lineRule="auto"/>
        <w:ind w:left="560" w:leftChars="0" w:firstLine="480" w:firstLineChars="0"/>
        <w:outlineLvl w:val="9"/>
        <w:rPr>
          <w:rFonts w:hint="eastAsia" w:ascii="宋体" w:hAnsi="宋体" w:eastAsia="宋体" w:cs="宋体"/>
          <w:b w:val="0"/>
          <w:bCs w:val="0"/>
        </w:rPr>
      </w:pPr>
      <w:r>
        <w:rPr>
          <w:rFonts w:hint="eastAsia" w:ascii="宋体" w:hAnsi="宋体" w:eastAsia="宋体" w:cs="宋体"/>
          <w:b w:val="0"/>
          <w:bCs w:val="0"/>
        </w:rPr>
        <w:t>支持通过SNMP TRAP协议被动接收交换机事件信息；</w:t>
      </w:r>
    </w:p>
    <w:p>
      <w:pPr>
        <w:adjustRightInd w:val="0"/>
        <w:snapToGrid w:val="0"/>
        <w:spacing w:line="360" w:lineRule="auto"/>
        <w:ind w:left="560" w:leftChars="0" w:firstLine="480" w:firstLineChars="0"/>
        <w:outlineLvl w:val="9"/>
        <w:rPr>
          <w:rFonts w:hint="eastAsia" w:ascii="宋体" w:hAnsi="宋体" w:eastAsia="宋体" w:cs="宋体"/>
          <w:b w:val="0"/>
          <w:bCs w:val="0"/>
        </w:rPr>
      </w:pPr>
      <w:r>
        <w:rPr>
          <w:rFonts w:hint="eastAsia" w:ascii="宋体" w:hAnsi="宋体" w:eastAsia="宋体" w:cs="宋体"/>
          <w:b w:val="0"/>
          <w:bCs w:val="0"/>
        </w:rPr>
        <w:t>采用SNMP、SNMP TRAP V3版本与交换机进行通信；</w:t>
      </w:r>
    </w:p>
    <w:p>
      <w:pPr>
        <w:adjustRightInd w:val="0"/>
        <w:snapToGrid w:val="0"/>
        <w:spacing w:line="360" w:lineRule="auto"/>
        <w:ind w:left="560" w:leftChars="0" w:firstLine="480" w:firstLineChars="0"/>
        <w:outlineLvl w:val="9"/>
        <w:rPr>
          <w:rFonts w:hint="eastAsia" w:ascii="宋体" w:hAnsi="宋体" w:eastAsia="宋体" w:cs="宋体"/>
          <w:b w:val="0"/>
          <w:bCs w:val="0"/>
        </w:rPr>
      </w:pPr>
      <w:r>
        <w:rPr>
          <w:rFonts w:hint="eastAsia" w:ascii="宋体" w:hAnsi="宋体" w:eastAsia="宋体" w:cs="宋体"/>
          <w:b w:val="0"/>
          <w:bCs w:val="0"/>
        </w:rPr>
        <w:t>支持通过日志协议采集交换机信息。</w:t>
      </w:r>
    </w:p>
    <w:p>
      <w:pPr>
        <w:adjustRightInd w:val="0"/>
        <w:snapToGrid w:val="0"/>
        <w:spacing w:line="360" w:lineRule="auto"/>
        <w:ind w:left="560" w:leftChars="0" w:firstLine="480" w:firstLineChars="0"/>
        <w:outlineLvl w:val="9"/>
        <w:rPr>
          <w:rFonts w:hint="eastAsia" w:ascii="宋体" w:hAnsi="宋体" w:eastAsia="宋体" w:cs="宋体"/>
          <w:b w:val="0"/>
          <w:bCs w:val="0"/>
        </w:rPr>
      </w:pPr>
      <w:r>
        <w:rPr>
          <w:rFonts w:hint="eastAsia" w:ascii="宋体" w:hAnsi="宋体" w:eastAsia="宋体" w:cs="宋体"/>
          <w:b w:val="0"/>
          <w:bCs w:val="0"/>
        </w:rPr>
        <w:t>与安全防护设备通信</w:t>
      </w:r>
    </w:p>
    <w:p>
      <w:pPr>
        <w:adjustRightInd w:val="0"/>
        <w:snapToGrid w:val="0"/>
        <w:spacing w:line="360" w:lineRule="auto"/>
        <w:ind w:left="560" w:leftChars="0" w:firstLine="480" w:firstLineChars="0"/>
        <w:outlineLvl w:val="9"/>
        <w:rPr>
          <w:rFonts w:hint="eastAsia" w:ascii="宋体" w:hAnsi="宋体" w:eastAsia="宋体" w:cs="宋体"/>
          <w:b w:val="0"/>
          <w:bCs w:val="0"/>
        </w:rPr>
      </w:pPr>
      <w:r>
        <w:rPr>
          <w:rFonts w:hint="eastAsia" w:ascii="宋体" w:hAnsi="宋体" w:eastAsia="宋体" w:cs="宋体"/>
          <w:b w:val="0"/>
          <w:bCs w:val="0"/>
        </w:rPr>
        <w:t>网络安全监测装置与安全防护设备通信应支持通过GB/T 31992协议采集安全防护设备信息。</w:t>
      </w:r>
    </w:p>
    <w:p>
      <w:pPr>
        <w:adjustRightInd w:val="0"/>
        <w:snapToGrid w:val="0"/>
        <w:spacing w:line="360" w:lineRule="auto"/>
        <w:ind w:left="560" w:leftChars="0" w:firstLine="480" w:firstLineChars="0"/>
        <w:outlineLvl w:val="9"/>
        <w:rPr>
          <w:rFonts w:hint="eastAsia" w:ascii="宋体" w:hAnsi="宋体" w:eastAsia="宋体" w:cs="宋体"/>
          <w:b w:val="0"/>
          <w:bCs w:val="0"/>
        </w:rPr>
      </w:pPr>
      <w:r>
        <w:rPr>
          <w:rFonts w:hint="eastAsia" w:ascii="宋体" w:hAnsi="宋体" w:eastAsia="宋体" w:cs="宋体"/>
          <w:b w:val="0"/>
          <w:bCs w:val="0"/>
        </w:rPr>
        <w:t>事件上传通信</w:t>
      </w:r>
    </w:p>
    <w:p>
      <w:pPr>
        <w:adjustRightInd w:val="0"/>
        <w:snapToGrid w:val="0"/>
        <w:spacing w:line="360" w:lineRule="auto"/>
        <w:ind w:left="560" w:leftChars="0" w:firstLine="480" w:firstLineChars="0"/>
        <w:outlineLvl w:val="9"/>
        <w:rPr>
          <w:rFonts w:hint="eastAsia" w:ascii="宋体" w:hAnsi="宋体" w:eastAsia="宋体" w:cs="宋体"/>
          <w:b w:val="0"/>
          <w:bCs w:val="0"/>
        </w:rPr>
      </w:pPr>
      <w:r>
        <w:rPr>
          <w:rFonts w:hint="eastAsia" w:ascii="宋体" w:hAnsi="宋体" w:eastAsia="宋体" w:cs="宋体"/>
          <w:b w:val="0"/>
          <w:bCs w:val="0"/>
        </w:rPr>
        <w:t xml:space="preserve">采用DL/T634.5104通信协议；网络安全管理平台作为服务端，网络安全监测装置作为客户端；采用自定义的报文类型；TCP连接建立后，首先进行基于调度数字证书的双向身份认证，认证通过后才能进行事件上传；只与网络安全管理平台建立一条TCP连接； </w:t>
      </w:r>
    </w:p>
    <w:p>
      <w:pPr>
        <w:adjustRightInd w:val="0"/>
        <w:snapToGrid w:val="0"/>
        <w:spacing w:line="360" w:lineRule="auto"/>
        <w:ind w:left="560" w:leftChars="0" w:firstLine="480" w:firstLineChars="0"/>
        <w:outlineLvl w:val="9"/>
        <w:rPr>
          <w:rFonts w:hint="eastAsia" w:ascii="宋体" w:hAnsi="宋体" w:eastAsia="宋体" w:cs="宋体"/>
          <w:b w:val="0"/>
          <w:bCs w:val="0"/>
        </w:rPr>
      </w:pPr>
      <w:r>
        <w:rPr>
          <w:rFonts w:hint="eastAsia" w:ascii="宋体" w:hAnsi="宋体" w:eastAsia="宋体" w:cs="宋体"/>
          <w:b w:val="0"/>
          <w:bCs w:val="0"/>
        </w:rPr>
        <w:t>服务代理通信</w:t>
      </w:r>
    </w:p>
    <w:p>
      <w:pPr>
        <w:adjustRightInd w:val="0"/>
        <w:snapToGrid w:val="0"/>
        <w:spacing w:line="360" w:lineRule="auto"/>
        <w:ind w:left="560" w:leftChars="0" w:firstLine="480" w:firstLineChars="0"/>
        <w:outlineLvl w:val="9"/>
        <w:rPr>
          <w:rFonts w:hint="eastAsia" w:ascii="宋体" w:hAnsi="宋体" w:eastAsia="宋体" w:cs="宋体"/>
          <w:b w:val="0"/>
          <w:bCs w:val="0"/>
        </w:rPr>
      </w:pPr>
      <w:r>
        <w:rPr>
          <w:rFonts w:hint="eastAsia" w:ascii="宋体" w:hAnsi="宋体" w:eastAsia="宋体" w:cs="宋体"/>
          <w:b w:val="0"/>
          <w:bCs w:val="0"/>
        </w:rPr>
        <w:t xml:space="preserve">采用基于TCP的自定义通信协议；网络安全监测装置作为服务端，网络安全管理平台作为客户端；支持多个TCP连接，至少支持4个；对未配置的网络安全管理平台IP地址发来的TCP连接请求拒绝响应； </w:t>
      </w:r>
    </w:p>
    <w:p>
      <w:pPr>
        <w:adjustRightInd w:val="0"/>
        <w:snapToGrid w:val="0"/>
        <w:spacing w:line="360" w:lineRule="auto"/>
        <w:ind w:left="560" w:leftChars="0" w:firstLine="480" w:firstLineChars="0"/>
        <w:outlineLvl w:val="9"/>
        <w:rPr>
          <w:rFonts w:hint="eastAsia" w:ascii="宋体" w:hAnsi="宋体" w:eastAsia="宋体" w:cs="宋体"/>
          <w:b w:val="0"/>
          <w:bCs w:val="0"/>
        </w:rPr>
      </w:pPr>
      <w:bookmarkStart w:id="350" w:name="_Toc497125293"/>
      <w:r>
        <w:rPr>
          <w:rFonts w:hint="eastAsia" w:ascii="宋体" w:hAnsi="宋体" w:eastAsia="宋体" w:cs="宋体"/>
          <w:b w:val="0"/>
          <w:bCs w:val="0"/>
          <w:lang w:eastAsia="zh-CN"/>
        </w:rPr>
        <w:t>5.6</w:t>
      </w:r>
      <w:r>
        <w:rPr>
          <w:rFonts w:hint="eastAsia" w:ascii="宋体" w:hAnsi="宋体" w:eastAsia="宋体" w:cs="宋体"/>
          <w:b w:val="0"/>
          <w:bCs w:val="0"/>
        </w:rPr>
        <w:t>.5本地管理</w:t>
      </w:r>
      <w:bookmarkEnd w:id="350"/>
    </w:p>
    <w:p>
      <w:pPr>
        <w:adjustRightInd w:val="0"/>
        <w:snapToGrid w:val="0"/>
        <w:spacing w:line="360" w:lineRule="auto"/>
        <w:ind w:left="560" w:leftChars="0" w:firstLine="480" w:firstLineChars="0"/>
        <w:outlineLvl w:val="9"/>
        <w:rPr>
          <w:rFonts w:hint="eastAsia" w:ascii="宋体" w:hAnsi="宋体" w:eastAsia="宋体" w:cs="宋体"/>
          <w:b w:val="0"/>
          <w:bCs w:val="0"/>
        </w:rPr>
      </w:pPr>
      <w:r>
        <w:rPr>
          <w:rFonts w:hint="eastAsia" w:ascii="宋体" w:hAnsi="宋体" w:eastAsia="宋体" w:cs="宋体"/>
          <w:b w:val="0"/>
          <w:bCs w:val="0"/>
        </w:rPr>
        <w:t>具备自诊断功能，至少包括进程异常、通信异常、硬件异常、CPU占用率过高、存储空间剩余容量过低、内存占用率过高等，检测到异常时应提示告警，诊断结果应记录日志；</w:t>
      </w:r>
    </w:p>
    <w:p>
      <w:pPr>
        <w:adjustRightInd w:val="0"/>
        <w:snapToGrid w:val="0"/>
        <w:spacing w:line="360" w:lineRule="auto"/>
        <w:ind w:left="560" w:leftChars="0" w:firstLine="480" w:firstLineChars="0"/>
        <w:outlineLvl w:val="9"/>
        <w:rPr>
          <w:rFonts w:hint="eastAsia" w:ascii="宋体" w:hAnsi="宋体" w:eastAsia="宋体" w:cs="宋体"/>
          <w:b w:val="0"/>
          <w:bCs w:val="0"/>
        </w:rPr>
      </w:pPr>
      <w:r>
        <w:rPr>
          <w:rFonts w:hint="eastAsia" w:ascii="宋体" w:hAnsi="宋体" w:eastAsia="宋体" w:cs="宋体"/>
          <w:b w:val="0"/>
          <w:bCs w:val="0"/>
        </w:rPr>
        <w:t>具备用户管理功能，基于三权分立原则为不同角色分配不同权限；满足不同角色的权限相互制约要求，不存在拥有所有权限的超级管理员角色；</w:t>
      </w:r>
    </w:p>
    <w:p>
      <w:pPr>
        <w:adjustRightInd w:val="0"/>
        <w:snapToGrid w:val="0"/>
        <w:spacing w:line="360" w:lineRule="auto"/>
        <w:ind w:left="560" w:leftChars="0" w:firstLine="480" w:firstLineChars="0"/>
        <w:outlineLvl w:val="9"/>
        <w:rPr>
          <w:rFonts w:hint="eastAsia" w:ascii="宋体" w:hAnsi="宋体" w:eastAsia="宋体" w:cs="宋体"/>
          <w:b w:val="0"/>
          <w:bCs w:val="0"/>
        </w:rPr>
      </w:pPr>
      <w:r>
        <w:rPr>
          <w:rFonts w:hint="eastAsia" w:ascii="宋体" w:hAnsi="宋体" w:eastAsia="宋体" w:cs="宋体"/>
          <w:b w:val="0"/>
          <w:bCs w:val="0"/>
        </w:rPr>
        <w:t>具备资产管理功能，包括资产信息的添加、删除、修改、查看等，资产信息包括：设备名称、设备IP、MAC地址、设备类型、设备厂家、序列号、系统版本等；</w:t>
      </w:r>
    </w:p>
    <w:p>
      <w:pPr>
        <w:adjustRightInd w:val="0"/>
        <w:snapToGrid w:val="0"/>
        <w:spacing w:line="360" w:lineRule="auto"/>
        <w:ind w:left="560" w:leftChars="0" w:firstLine="480" w:firstLineChars="0"/>
        <w:outlineLvl w:val="9"/>
        <w:rPr>
          <w:rFonts w:hint="eastAsia" w:ascii="宋体" w:hAnsi="宋体" w:eastAsia="宋体" w:cs="宋体"/>
          <w:b w:val="0"/>
          <w:bCs w:val="0"/>
        </w:rPr>
      </w:pPr>
      <w:bookmarkStart w:id="351" w:name="_Toc476920117"/>
      <w:bookmarkEnd w:id="351"/>
      <w:bookmarkStart w:id="352" w:name="_Toc476920116"/>
      <w:bookmarkEnd w:id="352"/>
      <w:bookmarkStart w:id="353" w:name="_Toc476908736"/>
      <w:bookmarkEnd w:id="353"/>
      <w:bookmarkStart w:id="354" w:name="_Toc476908737"/>
      <w:bookmarkEnd w:id="354"/>
      <w:r>
        <w:rPr>
          <w:rFonts w:hint="eastAsia" w:ascii="宋体" w:hAnsi="宋体" w:eastAsia="宋体" w:cs="宋体"/>
          <w:b w:val="0"/>
          <w:bCs w:val="0"/>
        </w:rPr>
        <w:t>支持采集信息、上传信息的本地查看，支持根据时间段、设备类型、事件等级、事件条数等综合过滤条件进行信息查看；</w:t>
      </w:r>
    </w:p>
    <w:p>
      <w:pPr>
        <w:adjustRightInd w:val="0"/>
        <w:snapToGrid w:val="0"/>
        <w:spacing w:line="360" w:lineRule="auto"/>
        <w:ind w:left="560" w:leftChars="0" w:firstLine="480" w:firstLineChars="0"/>
        <w:outlineLvl w:val="9"/>
        <w:rPr>
          <w:rFonts w:hint="eastAsia" w:ascii="宋体" w:hAnsi="宋体" w:eastAsia="宋体" w:cs="宋体"/>
          <w:b w:val="0"/>
          <w:bCs w:val="0"/>
        </w:rPr>
      </w:pPr>
      <w:r>
        <w:rPr>
          <w:rFonts w:hint="eastAsia" w:ascii="宋体" w:hAnsi="宋体" w:eastAsia="宋体" w:cs="宋体"/>
          <w:b w:val="0"/>
          <w:bCs w:val="0"/>
        </w:rPr>
        <w:t>支持对监视对象数量、在离线状态的统计展示，支持从设备类型、事件等级等维度对采集信息、上传信息进行统计展示；</w:t>
      </w:r>
    </w:p>
    <w:p>
      <w:pPr>
        <w:adjustRightInd w:val="0"/>
        <w:snapToGrid w:val="0"/>
        <w:spacing w:line="360" w:lineRule="auto"/>
        <w:ind w:left="560" w:leftChars="0" w:firstLine="480" w:firstLineChars="0"/>
        <w:outlineLvl w:val="9"/>
        <w:rPr>
          <w:rFonts w:hint="eastAsia" w:ascii="宋体" w:hAnsi="宋体" w:eastAsia="宋体" w:cs="宋体"/>
          <w:b w:val="0"/>
          <w:bCs w:val="0"/>
        </w:rPr>
      </w:pPr>
      <w:r>
        <w:rPr>
          <w:rFonts w:hint="eastAsia" w:ascii="宋体" w:hAnsi="宋体" w:eastAsia="宋体" w:cs="宋体"/>
          <w:b w:val="0"/>
          <w:bCs w:val="0"/>
        </w:rPr>
        <w:t>具备日志功能，日志类型至少包括登录日志、操作日志、维护日志等；</w:t>
      </w:r>
    </w:p>
    <w:p>
      <w:pPr>
        <w:adjustRightInd w:val="0"/>
        <w:snapToGrid w:val="0"/>
        <w:spacing w:line="360" w:lineRule="auto"/>
        <w:ind w:left="560" w:leftChars="0" w:firstLine="480" w:firstLineChars="0"/>
        <w:outlineLvl w:val="9"/>
        <w:rPr>
          <w:rFonts w:hint="eastAsia" w:ascii="宋体" w:hAnsi="宋体" w:eastAsia="宋体" w:cs="宋体"/>
          <w:b w:val="0"/>
          <w:bCs w:val="0"/>
        </w:rPr>
      </w:pPr>
      <w:r>
        <w:rPr>
          <w:rFonts w:hint="eastAsia" w:ascii="宋体" w:hAnsi="宋体" w:eastAsia="宋体" w:cs="宋体"/>
          <w:b w:val="0"/>
          <w:bCs w:val="0"/>
        </w:rPr>
        <w:t>日志内容包括日志级别、日志时间、日志类型、日志内容等信息，日志具备可读性</w:t>
      </w:r>
      <w:r>
        <w:rPr>
          <w:rFonts w:hint="eastAsia" w:ascii="宋体" w:hAnsi="宋体" w:eastAsia="宋体" w:cs="宋体"/>
          <w:b w:val="0"/>
          <w:bCs w:val="0"/>
          <w:lang w:eastAsia="zh-CN"/>
        </w:rPr>
        <w:t>。</w:t>
      </w:r>
    </w:p>
    <w:p>
      <w:pPr>
        <w:adjustRightInd w:val="0"/>
        <w:snapToGrid w:val="0"/>
        <w:spacing w:line="360" w:lineRule="auto"/>
        <w:ind w:left="560" w:leftChars="0" w:firstLine="480" w:firstLineChars="0"/>
        <w:outlineLvl w:val="0"/>
        <w:rPr>
          <w:rFonts w:hint="default" w:ascii="宋体" w:hAnsi="宋体" w:eastAsia="宋体" w:cs="宋体"/>
          <w:b/>
          <w:bCs/>
          <w:lang w:val="en-US" w:eastAsia="zh-CN"/>
        </w:rPr>
      </w:pPr>
      <w:r>
        <w:rPr>
          <w:rFonts w:hint="eastAsia" w:ascii="宋体" w:hAnsi="宋体" w:eastAsia="宋体" w:cs="宋体"/>
          <w:b/>
          <w:bCs/>
        </w:rPr>
        <w:t>六、</w:t>
      </w:r>
      <w:bookmarkEnd w:id="21"/>
      <w:bookmarkEnd w:id="22"/>
      <w:bookmarkEnd w:id="23"/>
      <w:r>
        <w:rPr>
          <w:rFonts w:hint="eastAsia" w:ascii="宋体" w:hAnsi="宋体" w:eastAsia="宋体" w:cs="宋体"/>
          <w:b/>
          <w:bCs/>
          <w:lang w:val="en-US" w:eastAsia="zh-CN"/>
        </w:rPr>
        <w:t>质量保证与服务</w:t>
      </w:r>
    </w:p>
    <w:p>
      <w:pPr>
        <w:adjustRightInd w:val="0"/>
        <w:snapToGrid w:val="0"/>
        <w:spacing w:line="360" w:lineRule="auto"/>
        <w:ind w:left="560" w:firstLine="480"/>
        <w:rPr>
          <w:rFonts w:hint="eastAsia" w:ascii="宋体" w:hAnsi="宋体" w:eastAsia="宋体" w:cs="宋体"/>
          <w:lang w:val="en-US" w:eastAsia="zh-CN"/>
        </w:rPr>
      </w:pPr>
      <w:bookmarkStart w:id="355" w:name="_Toc10026326"/>
      <w:r>
        <w:rPr>
          <w:rFonts w:hint="eastAsia" w:ascii="宋体" w:hAnsi="宋体" w:eastAsia="宋体" w:cs="宋体"/>
          <w:lang w:val="en-US" w:eastAsia="zh-CN"/>
        </w:rPr>
        <w:t>6.1设备性能保证</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6.1.1订购的新型产品除应满足本技术协议外，乙方还应提供产品的鉴定证书，并满足宁夏区调相关要求。</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6.1.2乙方按ISO9001要求对产品从设计、原料采购、制造、装配、测试、售后服务每个环节进行控制。乙方应保证制造过程中的所有工艺、材料等(包括乙方外购件在内)均应符合本技术协议的规定。</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6.1.3乙方遵守本技术协议中各条款和工作项目的ISO-9001，GB/T19001质量保证体系。</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6.1.4乙方保证设备的设计和制造完全满足国家及行业有关标准、规范的要求，并应充分考虑当地环境条件和使用条件的影响。</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6.1.5设备用材应采用能满足其使用条件的优质材料，零部件的选择应以技术先进、成熟可靠、安全耐用为基本原则。严禁采用国家公布的淘汰产品和技术。</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6.1.6乙方保证使用寿命15年。在合同规定的质量保证期内，对因所提供设备的设计、工艺、制造、安装等所有乙方原因造成的设备损坏全部由乙方无偿供货、更换或维修。由于甲方原因造成的问题，乙方也应及时帮助处理。</w:t>
      </w:r>
    </w:p>
    <w:p>
      <w:pPr>
        <w:adjustRightInd w:val="0"/>
        <w:snapToGrid w:val="0"/>
        <w:spacing w:line="360" w:lineRule="auto"/>
        <w:ind w:left="560" w:firstLine="480"/>
        <w:rPr>
          <w:rFonts w:hint="eastAsia"/>
          <w:lang w:val="en-US" w:eastAsia="zh-CN"/>
        </w:rPr>
      </w:pPr>
      <w:r>
        <w:rPr>
          <w:rFonts w:hint="eastAsia" w:ascii="宋体" w:hAnsi="宋体" w:eastAsia="宋体" w:cs="宋体"/>
          <w:lang w:val="en-US" w:eastAsia="zh-CN"/>
        </w:rPr>
        <w:t>6.1.7乙方保证设备的设计和制造完全满足国家及行业有关标准、规范的要求，并应充分考虑当地环境条件和使用条件的影响。进口设备应满足相应国际标准的规定。</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6.2服务：</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通用部分</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6.2.1维修后设备的质保期以专用部分要求为准。如因设备维修质量问题需修理或更换，质保期从修理或更换并经甲方验收合格之日起重新计算。</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6.2.2质保期内，乙方应提供24小时电话技术支持服务；乙方提供的设备有缺陷或质量问题需调试、维修、更换的，或者在甲方使用过程中非因甲方原因而发生损坏需调试、维修、更换的，乙方应在收到甲方通知后立即进行免费的维修或更换。</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6.2.3质保期内如遇设备故障需乙方到现场进行处理，乙方须在甲方规定的时间内到达现场，所发生的费用由乙方承担。</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6.2.4质保期后，乙方应继续做好售后服务工作，并承诺以优惠价格向甲方提供备件和服务。</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专用部分</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6.2.5质保期为自设备安装验收合格之日起12个月，设备授权3年。</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6.2.6乙方保证合同设备使用寿命按规程规定执行。</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6.2.7负责现场安装、调试中安全措施的落实工作。</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6.2.8按照国家规范要求开展现场相关试验项目并出具调试报告。</w:t>
      </w:r>
    </w:p>
    <w:p>
      <w:pPr>
        <w:pStyle w:val="12"/>
        <w:spacing w:line="360" w:lineRule="auto"/>
        <w:ind w:firstLine="1050" w:firstLineChars="500"/>
        <w:jc w:val="both"/>
        <w:rPr>
          <w:rFonts w:hint="eastAsia" w:ascii="宋体" w:hAnsi="宋体" w:eastAsia="宋体" w:cs="宋体"/>
          <w:kern w:val="2"/>
          <w:sz w:val="21"/>
          <w:szCs w:val="22"/>
          <w:lang w:val="en-US" w:eastAsia="zh-CN" w:bidi="ar-SA"/>
        </w:rPr>
      </w:pPr>
      <w:r>
        <w:rPr>
          <w:rFonts w:hint="eastAsia" w:ascii="宋体" w:hAnsi="宋体" w:eastAsia="宋体" w:cs="宋体"/>
          <w:lang w:val="en-US" w:eastAsia="zh-CN"/>
        </w:rPr>
        <w:t>6.2.</w:t>
      </w:r>
      <w:bookmarkStart w:id="356" w:name="_Toc148100754"/>
      <w:bookmarkStart w:id="357" w:name="_Toc32683"/>
      <w:bookmarkStart w:id="358" w:name="_Toc465976663"/>
      <w:bookmarkStart w:id="359" w:name="_Toc379724360"/>
      <w:bookmarkEnd w:id="355"/>
      <w:r>
        <w:rPr>
          <w:rFonts w:hint="eastAsia" w:ascii="宋体" w:hAnsi="宋体" w:eastAsia="宋体" w:cs="宋体"/>
          <w:lang w:val="en-US" w:eastAsia="zh-CN"/>
        </w:rPr>
        <w:t>9</w:t>
      </w:r>
      <w:r>
        <w:rPr>
          <w:rFonts w:hint="eastAsia" w:ascii="宋体" w:hAnsi="宋体" w:eastAsia="宋体" w:cs="宋体"/>
          <w:kern w:val="2"/>
          <w:sz w:val="21"/>
          <w:szCs w:val="22"/>
          <w:lang w:val="en-US" w:eastAsia="zh-CN" w:bidi="ar-SA"/>
        </w:rPr>
        <w:t>货物需求及供货范围一览表</w:t>
      </w:r>
    </w:p>
    <w:tbl>
      <w:tblPr>
        <w:tblStyle w:val="8"/>
        <w:tblW w:w="9141"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08"/>
        <w:gridCol w:w="1103"/>
        <w:gridCol w:w="709"/>
        <w:gridCol w:w="5202"/>
        <w:gridCol w:w="151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c>
          <w:tcPr>
            <w:tcW w:w="608" w:type="dxa"/>
            <w:vMerge w:val="restart"/>
            <w:tcMar>
              <w:left w:w="0" w:type="dxa"/>
              <w:right w:w="0" w:type="dxa"/>
            </w:tcMar>
            <w:vAlign w:val="center"/>
          </w:tcPr>
          <w:p>
            <w:pPr>
              <w:pStyle w:val="13"/>
              <w:spacing w:before="62" w:after="62" w:line="360" w:lineRule="auto"/>
              <w:ind w:left="63" w:right="63"/>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序号</w:t>
            </w:r>
          </w:p>
        </w:tc>
        <w:tc>
          <w:tcPr>
            <w:tcW w:w="1103" w:type="dxa"/>
            <w:vMerge w:val="restart"/>
            <w:tcMar>
              <w:left w:w="0" w:type="dxa"/>
              <w:right w:w="0" w:type="dxa"/>
            </w:tcMar>
            <w:vAlign w:val="center"/>
          </w:tcPr>
          <w:p>
            <w:pPr>
              <w:pStyle w:val="13"/>
              <w:spacing w:before="62" w:after="62" w:line="360" w:lineRule="auto"/>
              <w:ind w:left="63" w:right="63"/>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名称</w:t>
            </w:r>
          </w:p>
        </w:tc>
        <w:tc>
          <w:tcPr>
            <w:tcW w:w="709" w:type="dxa"/>
            <w:vMerge w:val="restart"/>
            <w:tcMar>
              <w:left w:w="0" w:type="dxa"/>
              <w:right w:w="0" w:type="dxa"/>
            </w:tcMar>
            <w:vAlign w:val="center"/>
          </w:tcPr>
          <w:p>
            <w:pPr>
              <w:pStyle w:val="13"/>
              <w:spacing w:before="62" w:after="62" w:line="360" w:lineRule="auto"/>
              <w:ind w:left="63" w:right="63"/>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单位</w:t>
            </w:r>
          </w:p>
        </w:tc>
        <w:tc>
          <w:tcPr>
            <w:tcW w:w="6721" w:type="dxa"/>
            <w:gridSpan w:val="2"/>
            <w:tcMar>
              <w:left w:w="0" w:type="dxa"/>
              <w:right w:w="0" w:type="dxa"/>
            </w:tcMar>
            <w:vAlign w:val="center"/>
          </w:tcPr>
          <w:p>
            <w:pPr>
              <w:pStyle w:val="13"/>
              <w:spacing w:before="62" w:after="62" w:line="360" w:lineRule="auto"/>
              <w:ind w:left="63" w:right="63"/>
              <w:rPr>
                <w:rFonts w:hint="eastAsia" w:ascii="宋体" w:hAnsi="宋体" w:eastAsia="宋体" w:cs="宋体"/>
                <w:kern w:val="2"/>
                <w:sz w:val="21"/>
                <w:szCs w:val="22"/>
                <w:lang w:val="en-US" w:eastAsia="zh-CN" w:bidi="ar-SA"/>
              </w:rPr>
            </w:pPr>
            <w:r>
              <w:rPr>
                <w:rFonts w:hint="eastAsia" w:ascii="宋体" w:hAnsi="宋体" w:cs="宋体"/>
                <w:kern w:val="2"/>
                <w:sz w:val="21"/>
                <w:szCs w:val="22"/>
                <w:lang w:val="en-US" w:eastAsia="zh-CN" w:bidi="ar-SA"/>
              </w:rPr>
              <w:t>技术</w:t>
            </w:r>
            <w:r>
              <w:rPr>
                <w:rFonts w:hint="eastAsia" w:ascii="宋体" w:hAnsi="宋体" w:eastAsia="宋体" w:cs="宋体"/>
                <w:kern w:val="2"/>
                <w:sz w:val="21"/>
                <w:szCs w:val="22"/>
                <w:lang w:val="en-US" w:eastAsia="zh-CN" w:bidi="ar-SA"/>
              </w:rPr>
              <w:t>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608" w:type="dxa"/>
            <w:vMerge w:val="continue"/>
            <w:tcMar>
              <w:left w:w="0" w:type="dxa"/>
              <w:right w:w="0" w:type="dxa"/>
            </w:tcMar>
            <w:vAlign w:val="center"/>
          </w:tcPr>
          <w:p>
            <w:pPr>
              <w:pStyle w:val="13"/>
              <w:spacing w:before="62" w:after="62" w:line="360" w:lineRule="auto"/>
              <w:ind w:left="63" w:right="63"/>
              <w:rPr>
                <w:rFonts w:hint="eastAsia" w:ascii="宋体" w:hAnsi="宋体" w:eastAsia="宋体" w:cs="宋体"/>
                <w:kern w:val="2"/>
                <w:sz w:val="21"/>
                <w:szCs w:val="22"/>
                <w:lang w:val="en-US" w:eastAsia="zh-CN" w:bidi="ar-SA"/>
              </w:rPr>
            </w:pPr>
          </w:p>
        </w:tc>
        <w:tc>
          <w:tcPr>
            <w:tcW w:w="1103" w:type="dxa"/>
            <w:vMerge w:val="continue"/>
            <w:tcMar>
              <w:left w:w="0" w:type="dxa"/>
              <w:right w:w="0" w:type="dxa"/>
            </w:tcMar>
            <w:vAlign w:val="center"/>
          </w:tcPr>
          <w:p>
            <w:pPr>
              <w:pStyle w:val="13"/>
              <w:spacing w:before="62" w:after="62" w:line="360" w:lineRule="auto"/>
              <w:ind w:left="63" w:right="63"/>
              <w:rPr>
                <w:rFonts w:hint="eastAsia" w:ascii="宋体" w:hAnsi="宋体" w:eastAsia="宋体" w:cs="宋体"/>
                <w:kern w:val="2"/>
                <w:sz w:val="21"/>
                <w:szCs w:val="22"/>
                <w:lang w:val="en-US" w:eastAsia="zh-CN" w:bidi="ar-SA"/>
              </w:rPr>
            </w:pPr>
          </w:p>
        </w:tc>
        <w:tc>
          <w:tcPr>
            <w:tcW w:w="709" w:type="dxa"/>
            <w:vMerge w:val="continue"/>
            <w:tcMar>
              <w:left w:w="0" w:type="dxa"/>
              <w:right w:w="0" w:type="dxa"/>
            </w:tcMar>
            <w:vAlign w:val="center"/>
          </w:tcPr>
          <w:p>
            <w:pPr>
              <w:pStyle w:val="13"/>
              <w:spacing w:before="62" w:after="62" w:line="360" w:lineRule="auto"/>
              <w:ind w:left="63" w:right="63"/>
              <w:rPr>
                <w:rFonts w:hint="eastAsia" w:ascii="宋体" w:hAnsi="宋体" w:eastAsia="宋体" w:cs="宋体"/>
                <w:kern w:val="2"/>
                <w:sz w:val="21"/>
                <w:szCs w:val="22"/>
                <w:lang w:val="en-US" w:eastAsia="zh-CN" w:bidi="ar-SA"/>
              </w:rPr>
            </w:pPr>
          </w:p>
        </w:tc>
        <w:tc>
          <w:tcPr>
            <w:tcW w:w="5202" w:type="dxa"/>
            <w:tcMar>
              <w:left w:w="0" w:type="dxa"/>
              <w:right w:w="0" w:type="dxa"/>
            </w:tcMar>
            <w:vAlign w:val="center"/>
          </w:tcPr>
          <w:p>
            <w:pPr>
              <w:pStyle w:val="13"/>
              <w:spacing w:before="62" w:after="62" w:line="360" w:lineRule="auto"/>
              <w:ind w:left="63" w:right="63"/>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型式、规格</w:t>
            </w:r>
          </w:p>
        </w:tc>
        <w:tc>
          <w:tcPr>
            <w:tcW w:w="1519" w:type="dxa"/>
            <w:tcMar>
              <w:left w:w="0" w:type="dxa"/>
              <w:right w:w="0" w:type="dxa"/>
            </w:tcMar>
            <w:vAlign w:val="center"/>
          </w:tcPr>
          <w:p>
            <w:pPr>
              <w:pStyle w:val="13"/>
              <w:spacing w:before="62" w:after="62" w:line="360" w:lineRule="auto"/>
              <w:ind w:left="63" w:right="63"/>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数量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608" w:type="dxa"/>
            <w:tcMar>
              <w:left w:w="0" w:type="dxa"/>
              <w:right w:w="0" w:type="dxa"/>
            </w:tcMar>
            <w:vAlign w:val="center"/>
          </w:tcPr>
          <w:p>
            <w:pPr>
              <w:pStyle w:val="13"/>
              <w:spacing w:before="62" w:after="62" w:line="360" w:lineRule="auto"/>
              <w:ind w:left="63" w:right="63"/>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1</w:t>
            </w:r>
          </w:p>
        </w:tc>
        <w:tc>
          <w:tcPr>
            <w:tcW w:w="1103" w:type="dxa"/>
            <w:tcMar>
              <w:left w:w="0" w:type="dxa"/>
              <w:right w:w="0" w:type="dxa"/>
            </w:tcMar>
            <w:vAlign w:val="center"/>
          </w:tcPr>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恶意代码防护系统（含硬件及软件）</w:t>
            </w:r>
            <w:r>
              <w:rPr>
                <w:rFonts w:hint="eastAsia" w:ascii="宋体" w:hAnsi="宋体" w:cs="宋体"/>
                <w:kern w:val="2"/>
                <w:sz w:val="21"/>
                <w:szCs w:val="22"/>
                <w:lang w:val="en-US" w:eastAsia="zh-CN" w:bidi="ar-SA"/>
              </w:rPr>
              <w:t>北京江民赤豹终端管理系统</w:t>
            </w:r>
          </w:p>
        </w:tc>
        <w:tc>
          <w:tcPr>
            <w:tcW w:w="709" w:type="dxa"/>
            <w:tcMar>
              <w:left w:w="0" w:type="dxa"/>
              <w:right w:w="0" w:type="dxa"/>
            </w:tcMar>
            <w:vAlign w:val="center"/>
          </w:tcPr>
          <w:p>
            <w:pPr>
              <w:pStyle w:val="13"/>
              <w:spacing w:before="62" w:after="62" w:line="360" w:lineRule="auto"/>
              <w:ind w:left="63" w:right="63"/>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套</w:t>
            </w:r>
          </w:p>
        </w:tc>
        <w:tc>
          <w:tcPr>
            <w:tcW w:w="5202" w:type="dxa"/>
            <w:tcMar>
              <w:left w:w="0" w:type="dxa"/>
              <w:right w:w="0" w:type="dxa"/>
            </w:tcMar>
            <w:vAlign w:val="top"/>
          </w:tcPr>
          <w:p>
            <w:pPr>
              <w:pStyle w:val="13"/>
              <w:spacing w:before="43" w:beforeLines="14" w:after="43" w:afterLines="14" w:line="360" w:lineRule="auto"/>
              <w:ind w:left="63" w:right="0" w:rightChars="0"/>
              <w:jc w:val="left"/>
              <w:rPr>
                <w:rFonts w:hint="eastAsia" w:ascii="宋体" w:hAnsi="宋体" w:cs="宋体"/>
                <w:kern w:val="2"/>
                <w:sz w:val="21"/>
                <w:szCs w:val="22"/>
                <w:lang w:val="en-US" w:eastAsia="zh-CN" w:bidi="ar-SA"/>
              </w:rPr>
            </w:pPr>
            <w:r>
              <w:rPr>
                <w:rFonts w:hint="eastAsia" w:ascii="宋体" w:hAnsi="宋体" w:cs="宋体"/>
                <w:kern w:val="2"/>
                <w:sz w:val="21"/>
                <w:szCs w:val="22"/>
                <w:lang w:val="en-US" w:eastAsia="zh-CN" w:bidi="ar-SA"/>
              </w:rPr>
              <w:t>型号：北京江民赤豹终端管理系统V3.0</w:t>
            </w:r>
          </w:p>
          <w:p>
            <w:pPr>
              <w:pStyle w:val="13"/>
              <w:spacing w:before="43" w:beforeLines="14" w:after="43" w:afterLines="14" w:line="240" w:lineRule="auto"/>
              <w:ind w:left="63" w:right="0" w:rightChars="0"/>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1、工控机，设备高度2U</w:t>
            </w:r>
          </w:p>
          <w:p>
            <w:pPr>
              <w:pStyle w:val="13"/>
              <w:spacing w:before="62" w:after="62" w:line="240" w:lineRule="auto"/>
              <w:ind w:left="63" w:right="63"/>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2、</w:t>
            </w:r>
            <w:r>
              <w:rPr>
                <w:rFonts w:hint="eastAsia" w:ascii="宋体" w:hAnsi="宋体" w:cs="宋体"/>
                <w:kern w:val="2"/>
                <w:sz w:val="21"/>
                <w:szCs w:val="22"/>
                <w:lang w:val="en-US" w:eastAsia="zh-CN" w:bidi="ar-SA"/>
              </w:rPr>
              <w:t>国产CPU生态，</w:t>
            </w:r>
            <w:r>
              <w:rPr>
                <w:rFonts w:hint="eastAsia" w:ascii="宋体" w:hAnsi="宋体" w:eastAsia="宋体" w:cs="宋体"/>
                <w:kern w:val="2"/>
                <w:sz w:val="21"/>
                <w:szCs w:val="22"/>
                <w:lang w:val="en-US" w:eastAsia="zh-CN" w:bidi="ar-SA"/>
              </w:rPr>
              <w:t>主频2.8GHz，CPU：1颗八核，内存：8GB DDR4；硬盘：1块1T硬盘或以上,</w:t>
            </w:r>
          </w:p>
          <w:p>
            <w:pPr>
              <w:pStyle w:val="13"/>
              <w:spacing w:before="62" w:after="62" w:line="240" w:lineRule="auto"/>
              <w:ind w:left="63" w:right="63"/>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3、电源：1+1冗余电源，千兆网口8个</w:t>
            </w:r>
          </w:p>
          <w:p>
            <w:pPr>
              <w:pStyle w:val="13"/>
              <w:spacing w:before="62" w:after="62" w:line="240" w:lineRule="auto"/>
              <w:ind w:left="63" w:right="63"/>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4、单级主机管理数量≥50</w:t>
            </w:r>
          </w:p>
        </w:tc>
        <w:tc>
          <w:tcPr>
            <w:tcW w:w="1519" w:type="dxa"/>
            <w:tcMar>
              <w:left w:w="0" w:type="dxa"/>
              <w:right w:w="0" w:type="dxa"/>
            </w:tcMar>
            <w:vAlign w:val="center"/>
          </w:tcPr>
          <w:p>
            <w:pPr>
              <w:pStyle w:val="13"/>
              <w:spacing w:before="62" w:after="62" w:line="360" w:lineRule="auto"/>
              <w:ind w:left="63" w:right="63"/>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608" w:type="dxa"/>
            <w:tcMar>
              <w:left w:w="0" w:type="dxa"/>
              <w:right w:w="0" w:type="dxa"/>
            </w:tcMar>
            <w:vAlign w:val="center"/>
          </w:tcPr>
          <w:p>
            <w:pPr>
              <w:pStyle w:val="13"/>
              <w:spacing w:before="62" w:after="62" w:line="360" w:lineRule="auto"/>
              <w:ind w:left="63" w:leftChars="30" w:right="63" w:rightChars="30"/>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highlight w:val="none"/>
                <w:lang w:val="en-US" w:eastAsia="zh-CN" w:bidi="ar-SA"/>
              </w:rPr>
              <w:t>2</w:t>
            </w:r>
          </w:p>
        </w:tc>
        <w:tc>
          <w:tcPr>
            <w:tcW w:w="1103" w:type="dxa"/>
            <w:tcMar>
              <w:left w:w="0" w:type="dxa"/>
              <w:right w:w="0" w:type="dxa"/>
            </w:tcMar>
            <w:vAlign w:val="center"/>
          </w:tcPr>
          <w:p>
            <w:pPr>
              <w:pStyle w:val="13"/>
              <w:spacing w:before="43" w:beforeLines="14" w:after="43" w:afterLines="14" w:line="360" w:lineRule="auto"/>
              <w:ind w:left="63" w:leftChars="30" w:right="0" w:rightChars="0"/>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highlight w:val="none"/>
                <w:lang w:val="en-US" w:eastAsia="zh-CN" w:bidi="ar-SA"/>
              </w:rPr>
              <w:t>防恶意代码客户端</w:t>
            </w:r>
          </w:p>
        </w:tc>
        <w:tc>
          <w:tcPr>
            <w:tcW w:w="709" w:type="dxa"/>
            <w:tcMar>
              <w:left w:w="0" w:type="dxa"/>
              <w:right w:w="0" w:type="dxa"/>
            </w:tcMar>
            <w:vAlign w:val="center"/>
          </w:tcPr>
          <w:p>
            <w:pPr>
              <w:pStyle w:val="13"/>
              <w:spacing w:before="62" w:after="62" w:line="360" w:lineRule="auto"/>
              <w:ind w:left="63" w:leftChars="30" w:right="63" w:rightChars="30"/>
              <w:rPr>
                <w:rFonts w:hint="eastAsia" w:ascii="宋体" w:hAnsi="宋体" w:eastAsia="宋体" w:cs="宋体"/>
                <w:kern w:val="2"/>
                <w:sz w:val="21"/>
                <w:szCs w:val="22"/>
                <w:lang w:val="en-US" w:eastAsia="zh-CN" w:bidi="ar-SA"/>
              </w:rPr>
            </w:pPr>
            <w:r>
              <w:rPr>
                <w:rFonts w:hint="eastAsia" w:ascii="宋体" w:hAnsi="宋体" w:cs="宋体"/>
                <w:kern w:val="2"/>
                <w:sz w:val="21"/>
                <w:szCs w:val="22"/>
                <w:highlight w:val="none"/>
                <w:lang w:val="en-US" w:eastAsia="zh-CN" w:bidi="ar-SA"/>
              </w:rPr>
              <w:t>批</w:t>
            </w:r>
          </w:p>
        </w:tc>
        <w:tc>
          <w:tcPr>
            <w:tcW w:w="5202" w:type="dxa"/>
            <w:tcMar>
              <w:left w:w="0" w:type="dxa"/>
              <w:right w:w="0" w:type="dxa"/>
            </w:tcMar>
            <w:vAlign w:val="center"/>
          </w:tcPr>
          <w:p>
            <w:pPr>
              <w:pStyle w:val="13"/>
              <w:spacing w:before="62" w:after="62" w:line="360" w:lineRule="auto"/>
              <w:ind w:left="63" w:leftChars="30" w:right="63" w:rightChars="30"/>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1.安装后主机CPU利用率≤70%</w:t>
            </w:r>
          </w:p>
          <w:p>
            <w:pPr>
              <w:pStyle w:val="13"/>
              <w:spacing w:before="62" w:after="62" w:line="360" w:lineRule="auto"/>
              <w:ind w:left="63" w:leftChars="30" w:right="63" w:rightChars="30"/>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2.安装后系统内存空闲率≥50%</w:t>
            </w:r>
          </w:p>
          <w:p>
            <w:pPr>
              <w:pStyle w:val="13"/>
              <w:spacing w:before="62" w:after="62" w:line="360" w:lineRule="auto"/>
              <w:ind w:left="63" w:leftChars="30" w:right="63" w:rightChars="30"/>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支持麒麟、凝思、方德、统信等国产操作系统以及redhat、centos等linux/unix系统、windows系列系统</w:t>
            </w:r>
          </w:p>
        </w:tc>
        <w:tc>
          <w:tcPr>
            <w:tcW w:w="1519" w:type="dxa"/>
            <w:tcMar>
              <w:left w:w="0" w:type="dxa"/>
              <w:right w:w="0" w:type="dxa"/>
            </w:tcMar>
            <w:vAlign w:val="center"/>
          </w:tcPr>
          <w:p>
            <w:pPr>
              <w:pStyle w:val="13"/>
              <w:spacing w:before="62" w:after="62" w:line="360" w:lineRule="auto"/>
              <w:ind w:left="63" w:leftChars="30" w:right="63" w:rightChars="30"/>
              <w:rPr>
                <w:rFonts w:hint="eastAsia" w:ascii="宋体" w:hAnsi="宋体" w:eastAsia="宋体" w:cs="宋体"/>
                <w:kern w:val="2"/>
                <w:sz w:val="21"/>
                <w:szCs w:val="22"/>
                <w:lang w:val="en-US" w:eastAsia="zh-CN" w:bidi="ar-SA"/>
              </w:rPr>
            </w:pPr>
            <w:r>
              <w:rPr>
                <w:rFonts w:hint="eastAsia" w:ascii="宋体" w:hAnsi="宋体" w:cs="宋体"/>
                <w:kern w:val="2"/>
                <w:sz w:val="21"/>
                <w:szCs w:val="22"/>
                <w:highlight w:val="none"/>
                <w:lang w:val="en-US" w:eastAsia="zh-CN" w:bidi="ar-SA"/>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608" w:type="dxa"/>
            <w:tcMar>
              <w:left w:w="0" w:type="dxa"/>
              <w:right w:w="0" w:type="dxa"/>
            </w:tcMar>
            <w:vAlign w:val="center"/>
          </w:tcPr>
          <w:p>
            <w:pPr>
              <w:pStyle w:val="13"/>
              <w:spacing w:before="62" w:after="62" w:line="360" w:lineRule="auto"/>
              <w:ind w:left="63" w:right="63"/>
              <w:rPr>
                <w:rFonts w:hint="eastAsia" w:ascii="宋体" w:hAnsi="宋体" w:eastAsia="宋体" w:cs="宋体"/>
                <w:kern w:val="2"/>
                <w:sz w:val="21"/>
                <w:szCs w:val="22"/>
                <w:lang w:val="en-US" w:eastAsia="zh-CN" w:bidi="ar-SA"/>
              </w:rPr>
            </w:pPr>
            <w:r>
              <w:rPr>
                <w:rFonts w:hint="eastAsia" w:ascii="宋体" w:hAnsi="宋体" w:cs="宋体"/>
                <w:kern w:val="2"/>
                <w:sz w:val="21"/>
                <w:szCs w:val="22"/>
                <w:lang w:val="en-US" w:eastAsia="zh-CN" w:bidi="ar-SA"/>
              </w:rPr>
              <w:t>3</w:t>
            </w:r>
          </w:p>
        </w:tc>
        <w:tc>
          <w:tcPr>
            <w:tcW w:w="1103" w:type="dxa"/>
            <w:tcMar>
              <w:left w:w="0" w:type="dxa"/>
              <w:right w:w="0" w:type="dxa"/>
            </w:tcMar>
            <w:vAlign w:val="center"/>
          </w:tcPr>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入侵检测系统</w:t>
            </w:r>
            <w:r>
              <w:rPr>
                <w:rFonts w:hint="eastAsia" w:ascii="宋体" w:hAnsi="宋体" w:cs="宋体"/>
                <w:kern w:val="2"/>
                <w:sz w:val="21"/>
                <w:szCs w:val="22"/>
                <w:lang w:val="en-US" w:eastAsia="zh-CN" w:bidi="ar-SA"/>
              </w:rPr>
              <w:t>（</w:t>
            </w:r>
            <w:r>
              <w:rPr>
                <w:rFonts w:hint="eastAsia" w:ascii="宋体" w:hAnsi="宋体" w:eastAsia="宋体" w:cs="宋体"/>
                <w:kern w:val="2"/>
                <w:sz w:val="21"/>
                <w:szCs w:val="22"/>
                <w:lang w:val="en-US" w:eastAsia="zh-CN" w:bidi="ar-SA"/>
              </w:rPr>
              <w:t>北京珞安</w:t>
            </w:r>
            <w:r>
              <w:rPr>
                <w:rFonts w:hint="eastAsia" w:ascii="宋体" w:hAnsi="宋体" w:cs="宋体"/>
                <w:kern w:val="2"/>
                <w:sz w:val="21"/>
                <w:szCs w:val="22"/>
                <w:lang w:val="en-US" w:eastAsia="zh-CN" w:bidi="ar-SA"/>
              </w:rPr>
              <w:t>）</w:t>
            </w:r>
          </w:p>
        </w:tc>
        <w:tc>
          <w:tcPr>
            <w:tcW w:w="709" w:type="dxa"/>
            <w:tcMar>
              <w:left w:w="0" w:type="dxa"/>
              <w:right w:w="0" w:type="dxa"/>
            </w:tcMar>
            <w:vAlign w:val="center"/>
          </w:tcPr>
          <w:p>
            <w:pPr>
              <w:spacing w:before="62" w:after="62" w:line="360" w:lineRule="auto"/>
              <w:ind w:left="63" w:right="63"/>
              <w:jc w:val="center"/>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套</w:t>
            </w:r>
          </w:p>
        </w:tc>
        <w:tc>
          <w:tcPr>
            <w:tcW w:w="5202" w:type="dxa"/>
            <w:tcMar>
              <w:left w:w="0" w:type="dxa"/>
              <w:right w:w="0" w:type="dxa"/>
            </w:tcMar>
            <w:vAlign w:val="center"/>
          </w:tcPr>
          <w:p/>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r>
              <w:rPr>
                <w:rFonts w:hint="eastAsia" w:ascii="宋体" w:hAnsi="宋体" w:cs="宋体"/>
                <w:kern w:val="2"/>
                <w:sz w:val="21"/>
                <w:szCs w:val="22"/>
                <w:lang w:val="en-US" w:eastAsia="zh-CN" w:bidi="ar-SA"/>
              </w:rPr>
              <w:t>型号：北京珞安LIDS/V2.0 9210FO1-WL</w:t>
            </w:r>
          </w:p>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吞吐量：设备能稳定分析的最大网络流量，至少1Gbps</w:t>
            </w:r>
          </w:p>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并发连接数：能同时跟踪和监控的网络连接数量，至少1000</w:t>
            </w:r>
          </w:p>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规则库数量与类型：内置的入侵检测签名数量，覆盖Web攻击、后门、漏洞利用、暴力破解、信息泄露等多种类型</w:t>
            </w:r>
          </w:p>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协议支持深度：支持解析和深度检测的协议种类（HTTP， HTTPS（需解密）、SMTP， POP3， FTP， DNS， SSH， 数据库协议等）。</w:t>
            </w:r>
          </w:p>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接口类型与数量：千兆电口至少4个、千兆光口（SFP）至少2个。</w:t>
            </w:r>
          </w:p>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硬件冗余：支持电源冗余、硬盘RAID</w:t>
            </w:r>
          </w:p>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r>
              <w:rPr>
                <w:rFonts w:hint="eastAsia" w:ascii="宋体" w:hAnsi="宋体" w:cs="宋体"/>
                <w:kern w:val="2"/>
                <w:sz w:val="21"/>
                <w:szCs w:val="22"/>
                <w:lang w:val="en-US" w:eastAsia="zh-CN" w:bidi="ar-SA"/>
              </w:rPr>
              <w:t>授权：含三年特征库授权</w:t>
            </w:r>
          </w:p>
        </w:tc>
        <w:tc>
          <w:tcPr>
            <w:tcW w:w="1519" w:type="dxa"/>
            <w:tcMar>
              <w:left w:w="0" w:type="dxa"/>
              <w:right w:w="0" w:type="dxa"/>
            </w:tcMar>
            <w:vAlign w:val="center"/>
          </w:tcPr>
          <w:p>
            <w:pPr>
              <w:pStyle w:val="13"/>
              <w:spacing w:before="62" w:after="62" w:line="360" w:lineRule="auto"/>
              <w:ind w:left="63" w:right="63"/>
              <w:rPr>
                <w:rFonts w:hint="eastAsia" w:ascii="宋体" w:hAnsi="宋体" w:eastAsia="宋体" w:cs="宋体"/>
                <w:kern w:val="2"/>
                <w:sz w:val="21"/>
                <w:szCs w:val="22"/>
                <w:lang w:val="en-US" w:eastAsia="zh-CN" w:bidi="ar-SA"/>
              </w:rPr>
            </w:pPr>
            <w:r>
              <w:rPr>
                <w:rFonts w:hint="eastAsia" w:ascii="宋体" w:hAnsi="宋体" w:cs="宋体"/>
                <w:kern w:val="2"/>
                <w:sz w:val="21"/>
                <w:szCs w:val="22"/>
                <w:lang w:val="en-US" w:eastAsia="zh-CN" w:bidi="ar-SA"/>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608" w:type="dxa"/>
            <w:tcMar>
              <w:left w:w="0" w:type="dxa"/>
              <w:right w:w="0" w:type="dxa"/>
            </w:tcMar>
            <w:vAlign w:val="center"/>
          </w:tcPr>
          <w:p>
            <w:pPr>
              <w:pStyle w:val="13"/>
              <w:spacing w:before="62" w:after="62" w:line="360" w:lineRule="auto"/>
              <w:ind w:left="63" w:right="63"/>
              <w:rPr>
                <w:rFonts w:hint="eastAsia" w:ascii="宋体" w:hAnsi="宋体" w:eastAsia="宋体" w:cs="宋体"/>
                <w:kern w:val="2"/>
                <w:sz w:val="21"/>
                <w:szCs w:val="22"/>
                <w:lang w:val="en-US" w:eastAsia="zh-CN" w:bidi="ar-SA"/>
              </w:rPr>
            </w:pPr>
            <w:r>
              <w:rPr>
                <w:rFonts w:hint="eastAsia" w:ascii="宋体" w:hAnsi="宋体" w:cs="宋体"/>
                <w:kern w:val="2"/>
                <w:sz w:val="21"/>
                <w:szCs w:val="22"/>
                <w:lang w:val="en-US" w:eastAsia="zh-CN" w:bidi="ar-SA"/>
              </w:rPr>
              <w:t>4</w:t>
            </w:r>
          </w:p>
        </w:tc>
        <w:tc>
          <w:tcPr>
            <w:tcW w:w="1103" w:type="dxa"/>
            <w:tcMar>
              <w:left w:w="0" w:type="dxa"/>
              <w:right w:w="0" w:type="dxa"/>
            </w:tcMar>
            <w:vAlign w:val="center"/>
          </w:tcPr>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日志审计系统</w:t>
            </w:r>
            <w:r>
              <w:rPr>
                <w:rFonts w:hint="eastAsia" w:ascii="宋体" w:hAnsi="宋体" w:cs="宋体"/>
                <w:kern w:val="2"/>
                <w:sz w:val="21"/>
                <w:szCs w:val="22"/>
                <w:lang w:val="en-US" w:eastAsia="zh-CN" w:bidi="ar-SA"/>
              </w:rPr>
              <w:t>（</w:t>
            </w:r>
            <w:r>
              <w:rPr>
                <w:rFonts w:hint="eastAsia" w:ascii="宋体" w:hAnsi="宋体" w:eastAsia="宋体" w:cs="宋体"/>
                <w:kern w:val="2"/>
                <w:sz w:val="21"/>
                <w:szCs w:val="22"/>
                <w:lang w:val="en-US" w:eastAsia="zh-CN" w:bidi="ar-SA"/>
              </w:rPr>
              <w:t>北京珞安</w:t>
            </w:r>
            <w:r>
              <w:rPr>
                <w:rFonts w:hint="eastAsia" w:ascii="宋体" w:hAnsi="宋体" w:cs="宋体"/>
                <w:kern w:val="2"/>
                <w:sz w:val="21"/>
                <w:szCs w:val="22"/>
                <w:lang w:val="en-US" w:eastAsia="zh-CN" w:bidi="ar-SA"/>
              </w:rPr>
              <w:t>）</w:t>
            </w:r>
          </w:p>
        </w:tc>
        <w:tc>
          <w:tcPr>
            <w:tcW w:w="709" w:type="dxa"/>
            <w:tcMar>
              <w:left w:w="0" w:type="dxa"/>
              <w:right w:w="0" w:type="dxa"/>
            </w:tcMar>
            <w:vAlign w:val="center"/>
          </w:tcPr>
          <w:p>
            <w:pPr>
              <w:spacing w:before="62" w:after="62" w:line="360" w:lineRule="auto"/>
              <w:ind w:left="63" w:right="63"/>
              <w:jc w:val="center"/>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套</w:t>
            </w:r>
          </w:p>
        </w:tc>
        <w:tc>
          <w:tcPr>
            <w:tcW w:w="5202" w:type="dxa"/>
            <w:tcMar>
              <w:left w:w="0" w:type="dxa"/>
              <w:right w:w="0" w:type="dxa"/>
            </w:tcMar>
            <w:vAlign w:val="center"/>
          </w:tcPr>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r>
              <w:rPr>
                <w:rFonts w:hint="eastAsia" w:ascii="宋体" w:hAnsi="宋体" w:cs="宋体"/>
                <w:kern w:val="2"/>
                <w:sz w:val="21"/>
                <w:szCs w:val="22"/>
                <w:lang w:val="en-US" w:eastAsia="zh-CN" w:bidi="ar-SA"/>
              </w:rPr>
              <w:t>型号：北京珞安LSLA/V2.0 9210FY1-WL</w:t>
            </w:r>
          </w:p>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处理性能：日均处理日志量约 10-50亿条，峰值EPS约 5,000 - 15,000。</w:t>
            </w:r>
          </w:p>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存储容量：标配存储 6TB - 24TB（可扩展），满足半年至一年的常规存储需求。</w:t>
            </w:r>
          </w:p>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数据源支持：可稳定管理 500 - 1000个 左右的各类日志源。</w:t>
            </w:r>
          </w:p>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典型场景：四级/三级等保系统。</w:t>
            </w:r>
          </w:p>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采集能力：支持 200+ 种以上常见设备/系统的专用日志解析器，覆盖网络、安全、主机、数据库、应用等。</w:t>
            </w:r>
          </w:p>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分析能力：关联规则库：内置 数百个 以上的关联分析场景，如暴力破解、横向移动、数据泄露、权限滥用等。</w:t>
            </w:r>
          </w:p>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r>
              <w:rPr>
                <w:rFonts w:hint="eastAsia" w:ascii="宋体" w:hAnsi="宋体" w:cs="宋体"/>
                <w:kern w:val="2"/>
                <w:sz w:val="21"/>
                <w:szCs w:val="22"/>
                <w:lang w:val="en-US" w:eastAsia="zh-CN" w:bidi="ar-SA"/>
              </w:rPr>
              <w:t>授权：含三年特征库授权</w:t>
            </w:r>
          </w:p>
        </w:tc>
        <w:tc>
          <w:tcPr>
            <w:tcW w:w="1519" w:type="dxa"/>
            <w:tcMar>
              <w:left w:w="0" w:type="dxa"/>
              <w:right w:w="0" w:type="dxa"/>
            </w:tcMar>
            <w:vAlign w:val="center"/>
          </w:tcPr>
          <w:p>
            <w:pPr>
              <w:pStyle w:val="13"/>
              <w:spacing w:before="62" w:after="62" w:line="360" w:lineRule="auto"/>
              <w:ind w:left="63" w:right="63"/>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608" w:type="dxa"/>
            <w:tcMar>
              <w:left w:w="0" w:type="dxa"/>
              <w:right w:w="0" w:type="dxa"/>
            </w:tcMar>
            <w:vAlign w:val="center"/>
          </w:tcPr>
          <w:p>
            <w:pPr>
              <w:pStyle w:val="13"/>
              <w:spacing w:before="62" w:after="62" w:line="360" w:lineRule="auto"/>
              <w:ind w:left="63" w:right="63"/>
              <w:rPr>
                <w:rFonts w:hint="eastAsia" w:ascii="宋体" w:hAnsi="宋体" w:eastAsia="宋体" w:cs="宋体"/>
                <w:kern w:val="2"/>
                <w:sz w:val="21"/>
                <w:szCs w:val="22"/>
                <w:lang w:val="en-US" w:eastAsia="zh-CN" w:bidi="ar-SA"/>
              </w:rPr>
            </w:pPr>
            <w:r>
              <w:rPr>
                <w:rFonts w:hint="eastAsia" w:ascii="宋体" w:hAnsi="宋体" w:cs="宋体"/>
                <w:kern w:val="2"/>
                <w:sz w:val="21"/>
                <w:szCs w:val="22"/>
                <w:lang w:val="en-US" w:eastAsia="zh-CN" w:bidi="ar-SA"/>
              </w:rPr>
              <w:t>4</w:t>
            </w:r>
          </w:p>
        </w:tc>
        <w:tc>
          <w:tcPr>
            <w:tcW w:w="1103" w:type="dxa"/>
            <w:tcMar>
              <w:left w:w="0" w:type="dxa"/>
              <w:right w:w="0" w:type="dxa"/>
            </w:tcMar>
            <w:vAlign w:val="center"/>
          </w:tcPr>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USB隔离装置</w:t>
            </w:r>
            <w:r>
              <w:rPr>
                <w:rFonts w:hint="eastAsia" w:ascii="宋体" w:hAnsi="宋体" w:cs="宋体"/>
                <w:kern w:val="2"/>
                <w:sz w:val="21"/>
                <w:szCs w:val="22"/>
                <w:lang w:val="en-US" w:eastAsia="zh-CN" w:bidi="ar-SA"/>
              </w:rPr>
              <w:t>（</w:t>
            </w:r>
            <w:r>
              <w:rPr>
                <w:rFonts w:hint="eastAsia" w:ascii="宋体" w:hAnsi="宋体" w:eastAsia="宋体" w:cs="宋体"/>
                <w:kern w:val="2"/>
                <w:sz w:val="21"/>
                <w:szCs w:val="22"/>
                <w:lang w:val="en-US" w:eastAsia="zh-CN" w:bidi="ar-SA"/>
              </w:rPr>
              <w:t>北京珞安</w:t>
            </w:r>
            <w:r>
              <w:rPr>
                <w:rFonts w:hint="eastAsia" w:ascii="宋体" w:hAnsi="宋体" w:cs="宋体"/>
                <w:kern w:val="2"/>
                <w:sz w:val="21"/>
                <w:szCs w:val="22"/>
                <w:lang w:val="en-US" w:eastAsia="zh-CN" w:bidi="ar-SA"/>
              </w:rPr>
              <w:t>）</w:t>
            </w:r>
          </w:p>
        </w:tc>
        <w:tc>
          <w:tcPr>
            <w:tcW w:w="709" w:type="dxa"/>
            <w:tcMar>
              <w:left w:w="0" w:type="dxa"/>
              <w:right w:w="0" w:type="dxa"/>
            </w:tcMar>
            <w:vAlign w:val="center"/>
          </w:tcPr>
          <w:p>
            <w:pPr>
              <w:spacing w:before="62" w:after="62" w:line="360" w:lineRule="auto"/>
              <w:ind w:left="63" w:right="63"/>
              <w:jc w:val="center"/>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套</w:t>
            </w:r>
          </w:p>
        </w:tc>
        <w:tc>
          <w:tcPr>
            <w:tcW w:w="5202" w:type="dxa"/>
            <w:tcMar>
              <w:left w:w="0" w:type="dxa"/>
              <w:right w:w="0" w:type="dxa"/>
            </w:tcMar>
            <w:vAlign w:val="center"/>
          </w:tcPr>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r>
              <w:rPr>
                <w:rFonts w:hint="eastAsia" w:ascii="宋体" w:hAnsi="宋体" w:cs="宋体"/>
                <w:kern w:val="2"/>
                <w:sz w:val="21"/>
                <w:szCs w:val="22"/>
                <w:lang w:val="en-US" w:eastAsia="zh-CN" w:bidi="ar-SA"/>
              </w:rPr>
              <w:t>型号：北京珞安LAUG-9000D-RO2</w:t>
            </w:r>
          </w:p>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采用白名单式接入管控机制，提供了对USB存储设备使用前的病毒扫描、查杀与隔离;</w:t>
            </w:r>
          </w:p>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提供使用过程中的读写权限管控，使用后的文件操作日志审计等功能;</w:t>
            </w:r>
          </w:p>
          <w:p>
            <w:pPr>
              <w:pStyle w:val="13"/>
              <w:spacing w:before="43" w:beforeLines="14" w:after="43" w:afterLines="14" w:line="360" w:lineRule="auto"/>
              <w:ind w:left="63" w:right="0" w:rightChars="0"/>
              <w:jc w:val="left"/>
              <w:rPr>
                <w:rFonts w:hint="default" w:ascii="宋体" w:hAnsi="宋体" w:eastAsia="宋体" w:cs="宋体"/>
                <w:kern w:val="2"/>
                <w:sz w:val="21"/>
                <w:szCs w:val="22"/>
                <w:lang w:val="en-US" w:eastAsia="zh-CN" w:bidi="ar-SA"/>
              </w:rPr>
            </w:pPr>
            <w:r>
              <w:rPr>
                <w:rFonts w:hint="eastAsia" w:ascii="宋体" w:hAnsi="宋体" w:cs="宋体"/>
                <w:kern w:val="2"/>
                <w:sz w:val="21"/>
                <w:szCs w:val="22"/>
                <w:lang w:val="en-US" w:eastAsia="zh-CN" w:bidi="ar-SA"/>
              </w:rPr>
              <w:t>含两套安全优盘并通过调度主站备案；</w:t>
            </w:r>
          </w:p>
          <w:p>
            <w:r>
              <w:rPr>
                <w:rFonts w:hint="eastAsia" w:ascii="宋体" w:hAnsi="宋体" w:cs="宋体"/>
                <w:kern w:val="2"/>
                <w:sz w:val="21"/>
                <w:szCs w:val="22"/>
                <w:lang w:val="en-US" w:eastAsia="zh-CN" w:bidi="ar-SA"/>
              </w:rPr>
              <w:t>授权：含三年特征库授权</w:t>
            </w:r>
          </w:p>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p>
        </w:tc>
        <w:tc>
          <w:tcPr>
            <w:tcW w:w="1519" w:type="dxa"/>
            <w:tcMar>
              <w:left w:w="0" w:type="dxa"/>
              <w:right w:w="0" w:type="dxa"/>
            </w:tcMar>
            <w:vAlign w:val="center"/>
          </w:tcPr>
          <w:p>
            <w:pPr>
              <w:pStyle w:val="13"/>
              <w:spacing w:before="62" w:after="62" w:line="360" w:lineRule="auto"/>
              <w:ind w:left="63" w:right="63"/>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608" w:type="dxa"/>
            <w:tcMar>
              <w:left w:w="0" w:type="dxa"/>
              <w:right w:w="0" w:type="dxa"/>
            </w:tcMar>
            <w:vAlign w:val="center"/>
          </w:tcPr>
          <w:p>
            <w:pPr>
              <w:pStyle w:val="13"/>
              <w:spacing w:before="62" w:after="62" w:line="360" w:lineRule="auto"/>
              <w:ind w:left="63" w:right="63"/>
              <w:rPr>
                <w:rFonts w:hint="eastAsia" w:ascii="宋体" w:hAnsi="宋体" w:eastAsia="宋体" w:cs="宋体"/>
                <w:kern w:val="2"/>
                <w:sz w:val="21"/>
                <w:szCs w:val="22"/>
                <w:lang w:val="en-US" w:eastAsia="zh-CN" w:bidi="ar-SA"/>
              </w:rPr>
            </w:pPr>
            <w:r>
              <w:rPr>
                <w:rFonts w:hint="eastAsia" w:ascii="宋体" w:hAnsi="宋体" w:cs="宋体"/>
                <w:kern w:val="2"/>
                <w:sz w:val="21"/>
                <w:szCs w:val="22"/>
                <w:lang w:val="en-US" w:eastAsia="zh-CN" w:bidi="ar-SA"/>
              </w:rPr>
              <w:t>5</w:t>
            </w:r>
          </w:p>
        </w:tc>
        <w:tc>
          <w:tcPr>
            <w:tcW w:w="1103" w:type="dxa"/>
            <w:tcMar>
              <w:left w:w="0" w:type="dxa"/>
              <w:right w:w="0" w:type="dxa"/>
            </w:tcMar>
            <w:vAlign w:val="center"/>
          </w:tcPr>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安全加固</w:t>
            </w:r>
          </w:p>
        </w:tc>
        <w:tc>
          <w:tcPr>
            <w:tcW w:w="709" w:type="dxa"/>
            <w:tcMar>
              <w:left w:w="0" w:type="dxa"/>
              <w:right w:w="0" w:type="dxa"/>
            </w:tcMar>
            <w:vAlign w:val="center"/>
          </w:tcPr>
          <w:p>
            <w:pPr>
              <w:spacing w:before="43" w:beforeLines="14" w:after="43" w:afterLines="14" w:line="360" w:lineRule="auto"/>
              <w:ind w:left="63"/>
              <w:jc w:val="center"/>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套</w:t>
            </w:r>
          </w:p>
        </w:tc>
        <w:tc>
          <w:tcPr>
            <w:tcW w:w="5202" w:type="dxa"/>
            <w:tcMar>
              <w:left w:w="0" w:type="dxa"/>
              <w:right w:w="0" w:type="dxa"/>
            </w:tcMar>
            <w:vAlign w:val="center"/>
          </w:tcPr>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建立安全管理账户与审计账户并禁用无关账户；</w:t>
            </w:r>
          </w:p>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配置密码复杂度策略、有效期及失败锁定机制；</w:t>
            </w:r>
          </w:p>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设置文件默认权限与关键文件访问控制；</w:t>
            </w:r>
          </w:p>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开启SELinux安全内核并配置防火墙规则，关闭高危端口；</w:t>
            </w:r>
          </w:p>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禁用非必要服务与未使用网络接口；</w:t>
            </w:r>
          </w:p>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严格管控外设，禁用USB存储与光驱；</w:t>
            </w:r>
          </w:p>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强化SSH安全，限制远程登录IP、禁止root远程登录并设置超时退出；</w:t>
            </w:r>
          </w:p>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实施日志保留策略与历史命令限制；</w:t>
            </w:r>
          </w:p>
          <w:p>
            <w:r>
              <w:rPr>
                <w:rFonts w:hint="eastAsia" w:ascii="宋体" w:hAnsi="宋体" w:eastAsia="宋体" w:cs="宋体"/>
                <w:kern w:val="2"/>
                <w:sz w:val="21"/>
                <w:szCs w:val="22"/>
                <w:lang w:val="en-US" w:eastAsia="zh-CN" w:bidi="ar-SA"/>
              </w:rPr>
              <w:t>隐藏系统登录信息，确保仅root用户UID为0，并在所有操作前备份原配置文件，形成全面的系统安全防护体系。</w:t>
            </w:r>
          </w:p>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p>
        </w:tc>
        <w:tc>
          <w:tcPr>
            <w:tcW w:w="1519" w:type="dxa"/>
            <w:tcMar>
              <w:left w:w="0" w:type="dxa"/>
              <w:right w:w="0" w:type="dxa"/>
            </w:tcMar>
            <w:vAlign w:val="center"/>
          </w:tcPr>
          <w:p>
            <w:pPr>
              <w:pStyle w:val="13"/>
              <w:spacing w:before="43" w:beforeLines="14" w:after="43" w:afterLines="14" w:line="360" w:lineRule="auto"/>
              <w:ind w:left="63" w:right="0" w:rightChars="0"/>
              <w:jc w:val="center"/>
              <w:rPr>
                <w:rFonts w:hint="default" w:ascii="宋体" w:hAnsi="宋体" w:eastAsia="宋体" w:cs="宋体"/>
                <w:kern w:val="2"/>
                <w:sz w:val="21"/>
                <w:szCs w:val="22"/>
                <w:lang w:val="en-US" w:eastAsia="zh-CN" w:bidi="ar-SA"/>
              </w:rPr>
            </w:pPr>
            <w:r>
              <w:rPr>
                <w:rFonts w:hint="eastAsia" w:ascii="宋体" w:hAnsi="宋体" w:cs="宋体"/>
                <w:kern w:val="2"/>
                <w:sz w:val="21"/>
                <w:szCs w:val="22"/>
                <w:lang w:val="en-US" w:eastAsia="zh-CN" w:bidi="ar-SA"/>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608" w:type="dxa"/>
            <w:tcMar>
              <w:left w:w="0" w:type="dxa"/>
              <w:right w:w="0" w:type="dxa"/>
            </w:tcMar>
            <w:vAlign w:val="center"/>
          </w:tcPr>
          <w:p>
            <w:pPr>
              <w:pStyle w:val="13"/>
              <w:spacing w:before="62" w:after="62" w:line="360" w:lineRule="auto"/>
              <w:ind w:left="63" w:right="63"/>
              <w:rPr>
                <w:rFonts w:hint="default" w:ascii="宋体" w:hAnsi="宋体" w:eastAsia="宋体" w:cs="宋体"/>
                <w:kern w:val="2"/>
                <w:sz w:val="21"/>
                <w:szCs w:val="22"/>
                <w:lang w:val="en-US" w:eastAsia="zh-CN" w:bidi="ar-SA"/>
              </w:rPr>
            </w:pPr>
            <w:r>
              <w:rPr>
                <w:rFonts w:hint="eastAsia" w:ascii="宋体" w:hAnsi="宋体" w:cs="宋体"/>
                <w:kern w:val="2"/>
                <w:sz w:val="21"/>
                <w:szCs w:val="22"/>
                <w:lang w:val="en-US" w:eastAsia="zh-CN" w:bidi="ar-SA"/>
              </w:rPr>
              <w:t>6</w:t>
            </w:r>
          </w:p>
        </w:tc>
        <w:tc>
          <w:tcPr>
            <w:tcW w:w="1103" w:type="dxa"/>
            <w:tcMar>
              <w:left w:w="0" w:type="dxa"/>
              <w:right w:w="0" w:type="dxa"/>
            </w:tcMar>
            <w:vAlign w:val="center"/>
          </w:tcPr>
          <w:p>
            <w:pPr>
              <w:pStyle w:val="13"/>
              <w:spacing w:before="43" w:beforeLines="14" w:after="43" w:afterLines="14" w:line="360" w:lineRule="auto"/>
              <w:ind w:left="63" w:right="0" w:rightChars="0"/>
              <w:jc w:val="left"/>
              <w:rPr>
                <w:rFonts w:hint="default" w:ascii="宋体" w:hAnsi="宋体" w:eastAsia="宋体" w:cs="宋体"/>
                <w:kern w:val="2"/>
                <w:sz w:val="21"/>
                <w:szCs w:val="22"/>
                <w:lang w:val="en-US" w:eastAsia="zh-CN" w:bidi="ar-SA"/>
              </w:rPr>
            </w:pPr>
            <w:r>
              <w:rPr>
                <w:rFonts w:hint="eastAsia" w:ascii="宋体" w:hAnsi="宋体" w:cs="宋体"/>
                <w:kern w:val="2"/>
                <w:sz w:val="21"/>
                <w:szCs w:val="22"/>
                <w:lang w:val="en-US" w:eastAsia="zh-CN" w:bidi="ar-SA"/>
              </w:rPr>
              <w:t>网络安全监测装置（北京科东）</w:t>
            </w:r>
          </w:p>
        </w:tc>
        <w:tc>
          <w:tcPr>
            <w:tcW w:w="709" w:type="dxa"/>
            <w:tcMar>
              <w:left w:w="0" w:type="dxa"/>
              <w:right w:w="0" w:type="dxa"/>
            </w:tcMar>
            <w:vAlign w:val="center"/>
          </w:tcPr>
          <w:p>
            <w:pPr>
              <w:spacing w:before="43" w:beforeLines="14" w:after="43" w:afterLines="14" w:line="360" w:lineRule="auto"/>
              <w:ind w:left="63"/>
              <w:jc w:val="center"/>
              <w:rPr>
                <w:rFonts w:hint="default"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套</w:t>
            </w:r>
          </w:p>
        </w:tc>
        <w:tc>
          <w:tcPr>
            <w:tcW w:w="5202" w:type="dxa"/>
            <w:tcMar>
              <w:left w:w="0" w:type="dxa"/>
              <w:right w:w="0" w:type="dxa"/>
            </w:tcMar>
            <w:vAlign w:val="center"/>
          </w:tcPr>
          <w:p>
            <w:pPr>
              <w:pStyle w:val="13"/>
              <w:spacing w:before="43" w:beforeLines="14" w:after="43" w:afterLines="14" w:line="360" w:lineRule="auto"/>
              <w:ind w:left="63" w:right="0" w:rightChars="0"/>
              <w:jc w:val="left"/>
              <w:rPr>
                <w:rFonts w:hint="default" w:ascii="宋体" w:hAnsi="宋体" w:eastAsia="宋体" w:cs="宋体"/>
                <w:kern w:val="2"/>
                <w:sz w:val="21"/>
                <w:szCs w:val="22"/>
                <w:lang w:val="en-US" w:eastAsia="zh-CN" w:bidi="ar-SA"/>
              </w:rPr>
            </w:pPr>
            <w:r>
              <w:rPr>
                <w:rFonts w:hint="eastAsia" w:ascii="宋体" w:hAnsi="宋体" w:cs="宋体"/>
                <w:kern w:val="2"/>
                <w:sz w:val="21"/>
                <w:szCs w:val="22"/>
                <w:lang w:val="en-US" w:eastAsia="zh-CN" w:bidi="ar-SA"/>
              </w:rPr>
              <w:t>型号：北京科东PSSEM-5000S二型网络安全监测装置</w:t>
            </w:r>
          </w:p>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采集信息吞吐量≥2000条/s；</w:t>
            </w:r>
          </w:p>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支持监测对象数量2000个；</w:t>
            </w:r>
          </w:p>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内存≥8GB，存储空间≥256GB；</w:t>
            </w:r>
          </w:p>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对上传事件信息的处理时间≤1s；</w:t>
            </w:r>
          </w:p>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对远程调阅的处理时间≤2s；</w:t>
            </w:r>
          </w:p>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具备8个10M/100M/1000M自适应以太网电口（支持网口扩展），采用RJ45接口；</w:t>
            </w:r>
          </w:p>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通过IRIG-B同步，对时精度≤0.03ms，通过SNTP同步，对时精度≤0.26ms；</w:t>
            </w:r>
          </w:p>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在没有外部时钟源校正时，24小时守时误差不超过0.2s；</w:t>
            </w:r>
          </w:p>
          <w:p>
            <w:pPr>
              <w:pStyle w:val="13"/>
              <w:spacing w:before="43" w:beforeLines="14" w:after="43" w:afterLines="14" w:line="360" w:lineRule="auto"/>
              <w:ind w:left="63" w:right="0" w:rightChars="0"/>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平均故障间隔时间（MTBF）≥30000h。</w:t>
            </w:r>
          </w:p>
          <w:p>
            <w:pPr>
              <w:pStyle w:val="13"/>
              <w:spacing w:before="43" w:beforeLines="14" w:after="43" w:afterLines="14" w:line="360" w:lineRule="auto"/>
              <w:ind w:left="63" w:right="0" w:rightChars="0"/>
              <w:jc w:val="left"/>
              <w:rPr>
                <w:rFonts w:hint="eastAsia" w:ascii="宋体" w:hAnsi="宋体" w:cs="宋体"/>
                <w:kern w:val="2"/>
                <w:sz w:val="21"/>
                <w:szCs w:val="22"/>
                <w:lang w:val="en-US" w:eastAsia="zh-CN" w:bidi="ar-SA"/>
              </w:rPr>
            </w:pPr>
            <w:r>
              <w:rPr>
                <w:rFonts w:hint="eastAsia" w:ascii="宋体" w:hAnsi="宋体" w:cs="宋体"/>
                <w:kern w:val="2"/>
                <w:sz w:val="21"/>
                <w:szCs w:val="22"/>
                <w:lang w:val="en-US" w:eastAsia="zh-CN" w:bidi="ar-SA"/>
              </w:rPr>
              <w:t>配套工作站改造要求：</w:t>
            </w:r>
          </w:p>
          <w:p>
            <w:pPr>
              <w:pStyle w:val="13"/>
              <w:spacing w:before="43" w:beforeLines="14" w:after="43" w:afterLines="14" w:line="360" w:lineRule="auto"/>
              <w:ind w:left="63" w:right="0" w:rightChars="0"/>
              <w:jc w:val="left"/>
              <w:rPr>
                <w:rFonts w:hint="eastAsia" w:ascii="宋体" w:hAnsi="宋体" w:cs="宋体"/>
                <w:kern w:val="2"/>
                <w:sz w:val="21"/>
                <w:szCs w:val="22"/>
                <w:lang w:val="en-US" w:eastAsia="zh-CN" w:bidi="ar-SA"/>
              </w:rPr>
            </w:pPr>
            <w:r>
              <w:rPr>
                <w:rFonts w:hint="eastAsia" w:ascii="宋体" w:hAnsi="宋体" w:cs="宋体"/>
                <w:kern w:val="2"/>
                <w:sz w:val="21"/>
                <w:szCs w:val="22"/>
                <w:lang w:val="en-US" w:eastAsia="zh-CN" w:bidi="ar-SA"/>
              </w:rPr>
              <w:t>（1）设备利旧：利用电厂现有两台研华工控机作为配套工作站，无需新增设备。</w:t>
            </w:r>
          </w:p>
          <w:p>
            <w:pPr>
              <w:pStyle w:val="13"/>
              <w:spacing w:before="43" w:beforeLines="14" w:after="43" w:afterLines="14" w:line="360" w:lineRule="auto"/>
              <w:ind w:left="63" w:right="0" w:rightChars="0"/>
              <w:jc w:val="left"/>
              <w:rPr>
                <w:rFonts w:hint="eastAsia" w:ascii="宋体" w:hAnsi="宋体" w:cs="宋体"/>
                <w:kern w:val="2"/>
                <w:sz w:val="21"/>
                <w:szCs w:val="22"/>
                <w:lang w:val="en-US" w:eastAsia="zh-CN" w:bidi="ar-SA"/>
              </w:rPr>
            </w:pPr>
            <w:r>
              <w:rPr>
                <w:rFonts w:hint="eastAsia" w:ascii="宋体" w:hAnsi="宋体" w:cs="宋体"/>
                <w:kern w:val="2"/>
                <w:sz w:val="21"/>
                <w:szCs w:val="22"/>
                <w:lang w:val="en-US" w:eastAsia="zh-CN" w:bidi="ar-SA"/>
              </w:rPr>
              <w:t>（2）操作系统：配置两套国产自主可控安全操作系统（凝思），该操作系统需具备电科院出具的检测报告，符合电力行业安全规范。</w:t>
            </w:r>
          </w:p>
          <w:p>
            <w:pPr>
              <w:pStyle w:val="13"/>
              <w:spacing w:before="43" w:beforeLines="14" w:after="43" w:afterLines="14" w:line="360" w:lineRule="auto"/>
              <w:ind w:left="63" w:right="0" w:rightChars="0"/>
              <w:jc w:val="left"/>
              <w:rPr>
                <w:rFonts w:hint="default" w:ascii="宋体" w:hAnsi="宋体" w:cs="宋体"/>
                <w:kern w:val="2"/>
                <w:sz w:val="21"/>
                <w:szCs w:val="22"/>
                <w:lang w:val="en-US" w:eastAsia="zh-CN" w:bidi="ar-SA"/>
              </w:rPr>
            </w:pPr>
            <w:r>
              <w:rPr>
                <w:rFonts w:hint="eastAsia" w:ascii="宋体" w:hAnsi="宋体" w:cs="宋体"/>
                <w:kern w:val="2"/>
                <w:sz w:val="21"/>
                <w:szCs w:val="22"/>
                <w:lang w:val="en-US" w:eastAsia="zh-CN" w:bidi="ar-SA"/>
              </w:rPr>
              <w:t>（2）管理软件：配套提供两套原厂Linux版本管理软件，确保与工作站及现场设备兼容，满足日常管理需求。</w:t>
            </w:r>
          </w:p>
        </w:tc>
        <w:tc>
          <w:tcPr>
            <w:tcW w:w="1519" w:type="dxa"/>
            <w:tcMar>
              <w:left w:w="0" w:type="dxa"/>
              <w:right w:w="0" w:type="dxa"/>
            </w:tcMar>
            <w:vAlign w:val="center"/>
          </w:tcPr>
          <w:p>
            <w:pPr>
              <w:pStyle w:val="13"/>
              <w:spacing w:before="43" w:beforeLines="14" w:after="43" w:afterLines="14" w:line="360" w:lineRule="auto"/>
              <w:ind w:left="63" w:right="0" w:rightChars="0"/>
              <w:jc w:val="center"/>
              <w:rPr>
                <w:rFonts w:hint="default" w:ascii="宋体" w:hAnsi="宋体" w:eastAsia="宋体" w:cs="宋体"/>
                <w:kern w:val="2"/>
                <w:sz w:val="21"/>
                <w:szCs w:val="22"/>
                <w:lang w:val="en-US" w:eastAsia="zh-CN" w:bidi="ar-SA"/>
              </w:rPr>
            </w:pPr>
            <w:r>
              <w:rPr>
                <w:rFonts w:hint="eastAsia" w:ascii="宋体" w:hAnsi="宋体" w:cs="宋体"/>
                <w:kern w:val="2"/>
                <w:sz w:val="21"/>
                <w:szCs w:val="22"/>
                <w:lang w:val="en-US" w:eastAsia="zh-CN" w:bidi="ar-SA"/>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608" w:type="dxa"/>
            <w:tcMar>
              <w:left w:w="0" w:type="dxa"/>
              <w:right w:w="0" w:type="dxa"/>
            </w:tcMar>
            <w:vAlign w:val="center"/>
          </w:tcPr>
          <w:p>
            <w:pPr>
              <w:pStyle w:val="13"/>
              <w:spacing w:before="62" w:after="62" w:line="360" w:lineRule="auto"/>
              <w:ind w:left="63" w:right="63"/>
              <w:rPr>
                <w:rFonts w:hint="default" w:ascii="宋体" w:hAnsi="宋体" w:cs="宋体"/>
                <w:kern w:val="2"/>
                <w:sz w:val="21"/>
                <w:szCs w:val="22"/>
                <w:lang w:val="en-US" w:eastAsia="zh-CN" w:bidi="ar-SA"/>
              </w:rPr>
            </w:pPr>
            <w:r>
              <w:rPr>
                <w:rFonts w:hint="eastAsia" w:ascii="宋体" w:hAnsi="宋体" w:cs="宋体"/>
                <w:kern w:val="2"/>
                <w:sz w:val="21"/>
                <w:szCs w:val="22"/>
                <w:lang w:val="en-US" w:eastAsia="zh-CN" w:bidi="ar-SA"/>
              </w:rPr>
              <w:t>7</w:t>
            </w:r>
          </w:p>
        </w:tc>
        <w:tc>
          <w:tcPr>
            <w:tcW w:w="1103" w:type="dxa"/>
            <w:tcMar>
              <w:left w:w="0" w:type="dxa"/>
              <w:right w:w="0" w:type="dxa"/>
            </w:tcMar>
            <w:vAlign w:val="center"/>
          </w:tcPr>
          <w:p>
            <w:pPr>
              <w:pStyle w:val="13"/>
              <w:spacing w:before="43" w:beforeLines="14" w:after="43" w:afterLines="14" w:line="360" w:lineRule="auto"/>
              <w:ind w:left="63" w:right="0" w:rightChars="0"/>
              <w:jc w:val="left"/>
              <w:rPr>
                <w:rFonts w:hint="eastAsia" w:ascii="宋体" w:hAnsi="宋体" w:cs="宋体"/>
                <w:kern w:val="2"/>
                <w:sz w:val="21"/>
                <w:szCs w:val="22"/>
                <w:lang w:val="en-US" w:eastAsia="zh-CN" w:bidi="ar-SA"/>
              </w:rPr>
            </w:pPr>
            <w:r>
              <w:rPr>
                <w:rFonts w:hint="eastAsia" w:ascii="宋体" w:hAnsi="宋体" w:cs="宋体"/>
                <w:kern w:val="2"/>
                <w:sz w:val="21"/>
                <w:szCs w:val="22"/>
                <w:lang w:val="en-US" w:eastAsia="zh-CN" w:bidi="ar-SA"/>
              </w:rPr>
              <w:t>电力专用屏柜</w:t>
            </w:r>
          </w:p>
        </w:tc>
        <w:tc>
          <w:tcPr>
            <w:tcW w:w="709" w:type="dxa"/>
            <w:tcMar>
              <w:left w:w="0" w:type="dxa"/>
              <w:right w:w="0" w:type="dxa"/>
            </w:tcMar>
            <w:vAlign w:val="center"/>
          </w:tcPr>
          <w:p>
            <w:pPr>
              <w:spacing w:before="43" w:beforeLines="14" w:after="43" w:afterLines="14" w:line="360" w:lineRule="auto"/>
              <w:ind w:left="63"/>
              <w:jc w:val="center"/>
              <w:rPr>
                <w:rFonts w:hint="default"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套</w:t>
            </w:r>
          </w:p>
        </w:tc>
        <w:tc>
          <w:tcPr>
            <w:tcW w:w="5202" w:type="dxa"/>
            <w:tcMar>
              <w:left w:w="0" w:type="dxa"/>
              <w:right w:w="0" w:type="dxa"/>
            </w:tcMar>
            <w:vAlign w:val="center"/>
          </w:tcPr>
          <w:p>
            <w:pPr>
              <w:pStyle w:val="13"/>
              <w:spacing w:before="43" w:beforeLines="14" w:after="43" w:afterLines="14" w:line="360" w:lineRule="auto"/>
              <w:ind w:left="63" w:right="0" w:rightChars="0"/>
              <w:jc w:val="left"/>
              <w:rPr>
                <w:rFonts w:hint="default" w:ascii="宋体" w:hAnsi="宋体" w:eastAsia="宋体" w:cs="宋体"/>
                <w:kern w:val="2"/>
                <w:sz w:val="21"/>
                <w:szCs w:val="22"/>
                <w:lang w:val="en-US" w:eastAsia="zh-CN" w:bidi="ar-SA"/>
              </w:rPr>
            </w:pPr>
            <w:r>
              <w:rPr>
                <w:rFonts w:hint="eastAsia" w:ascii="宋体" w:hAnsi="宋体" w:cs="宋体"/>
                <w:kern w:val="2"/>
                <w:sz w:val="21"/>
                <w:szCs w:val="22"/>
                <w:lang w:val="en-US" w:eastAsia="zh-CN" w:bidi="ar-SA"/>
              </w:rPr>
              <w:t>屏柜规格尺寸800×600×2260mm，柜体色调为GY09，采用前置玻璃开门结构。配套敷设双路供电电源，选用国标4平方两芯铠装电缆，单路长度50米，两路合计总长100米。</w:t>
            </w:r>
          </w:p>
        </w:tc>
        <w:tc>
          <w:tcPr>
            <w:tcW w:w="1519" w:type="dxa"/>
            <w:tcMar>
              <w:left w:w="0" w:type="dxa"/>
              <w:right w:w="0" w:type="dxa"/>
            </w:tcMar>
            <w:vAlign w:val="center"/>
          </w:tcPr>
          <w:p>
            <w:pPr>
              <w:pStyle w:val="13"/>
              <w:spacing w:before="43" w:beforeLines="14" w:after="43" w:afterLines="14" w:line="360" w:lineRule="auto"/>
              <w:ind w:left="63" w:right="0" w:rightChars="0"/>
              <w:jc w:val="center"/>
              <w:rPr>
                <w:rFonts w:hint="default" w:ascii="宋体" w:hAnsi="宋体" w:cs="宋体"/>
                <w:kern w:val="2"/>
                <w:sz w:val="21"/>
                <w:szCs w:val="22"/>
                <w:lang w:val="en-US" w:eastAsia="zh-CN" w:bidi="ar-SA"/>
              </w:rPr>
            </w:pPr>
            <w:r>
              <w:rPr>
                <w:rFonts w:hint="eastAsia" w:ascii="宋体" w:hAnsi="宋体" w:cs="宋体"/>
                <w:kern w:val="2"/>
                <w:sz w:val="21"/>
                <w:szCs w:val="22"/>
                <w:lang w:val="en-US" w:eastAsia="zh-CN" w:bidi="ar-SA"/>
              </w:rPr>
              <w:t>1</w:t>
            </w:r>
          </w:p>
        </w:tc>
      </w:tr>
    </w:tbl>
    <w:p>
      <w:pPr>
        <w:spacing w:line="360" w:lineRule="auto"/>
        <w:rPr>
          <w:rFonts w:hint="default" w:ascii="宋体" w:hAnsi="宋体" w:eastAsia="宋体" w:cs="宋体"/>
          <w:b/>
          <w:bCs/>
          <w:kern w:val="2"/>
          <w:sz w:val="21"/>
          <w:szCs w:val="22"/>
          <w:lang w:val="en-US" w:eastAsia="zh-CN" w:bidi="ar-SA"/>
        </w:rPr>
      </w:pPr>
      <w:r>
        <w:rPr>
          <w:rFonts w:hint="eastAsia" w:ascii="宋体" w:hAnsi="宋体" w:eastAsia="宋体" w:cs="宋体"/>
          <w:b/>
          <w:bCs/>
          <w:kern w:val="2"/>
          <w:sz w:val="21"/>
          <w:szCs w:val="22"/>
          <w:lang w:val="en-US" w:eastAsia="zh-CN" w:bidi="ar-SA"/>
        </w:rPr>
        <w:t>注：上述所有供货产品，</w:t>
      </w:r>
      <w:r>
        <w:rPr>
          <w:rFonts w:hint="eastAsia" w:ascii="宋体" w:hAnsi="宋体" w:eastAsia="宋体" w:cs="宋体"/>
          <w:b/>
          <w:bCs/>
          <w:lang w:val="en-US" w:eastAsia="zh-CN"/>
        </w:rPr>
        <w:t>均需满足国产自主可控要求。</w:t>
      </w:r>
    </w:p>
    <w:p>
      <w:pPr>
        <w:pStyle w:val="12"/>
        <w:spacing w:line="360" w:lineRule="auto"/>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安装服务范围一览表</w:t>
      </w:r>
    </w:p>
    <w:tbl>
      <w:tblPr>
        <w:tblStyle w:val="8"/>
        <w:tblW w:w="9224"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14"/>
        <w:gridCol w:w="2944"/>
        <w:gridCol w:w="781"/>
        <w:gridCol w:w="3468"/>
        <w:gridCol w:w="141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614" w:type="dxa"/>
            <w:vMerge w:val="restart"/>
            <w:tcMar>
              <w:left w:w="0" w:type="dxa"/>
              <w:right w:w="0" w:type="dxa"/>
            </w:tcMar>
            <w:vAlign w:val="center"/>
          </w:tcPr>
          <w:p>
            <w:pPr>
              <w:pStyle w:val="13"/>
              <w:spacing w:before="62" w:after="62" w:line="360" w:lineRule="auto"/>
              <w:ind w:left="63" w:right="63"/>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序号</w:t>
            </w:r>
          </w:p>
        </w:tc>
        <w:tc>
          <w:tcPr>
            <w:tcW w:w="2944" w:type="dxa"/>
            <w:vMerge w:val="restart"/>
            <w:tcMar>
              <w:left w:w="0" w:type="dxa"/>
              <w:right w:w="0" w:type="dxa"/>
            </w:tcMar>
            <w:vAlign w:val="center"/>
          </w:tcPr>
          <w:p>
            <w:pPr>
              <w:pStyle w:val="13"/>
              <w:spacing w:before="62" w:after="62" w:line="360" w:lineRule="auto"/>
              <w:ind w:left="63" w:right="63"/>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名称</w:t>
            </w:r>
          </w:p>
        </w:tc>
        <w:tc>
          <w:tcPr>
            <w:tcW w:w="781" w:type="dxa"/>
            <w:vMerge w:val="restart"/>
            <w:tcMar>
              <w:left w:w="0" w:type="dxa"/>
              <w:right w:w="0" w:type="dxa"/>
            </w:tcMar>
            <w:vAlign w:val="center"/>
          </w:tcPr>
          <w:p>
            <w:pPr>
              <w:pStyle w:val="13"/>
              <w:spacing w:before="62" w:after="62" w:line="360" w:lineRule="auto"/>
              <w:ind w:left="63" w:right="63"/>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单位</w:t>
            </w:r>
          </w:p>
        </w:tc>
        <w:tc>
          <w:tcPr>
            <w:tcW w:w="4885" w:type="dxa"/>
            <w:gridSpan w:val="2"/>
            <w:tcMar>
              <w:left w:w="0" w:type="dxa"/>
              <w:right w:w="0" w:type="dxa"/>
            </w:tcMar>
            <w:vAlign w:val="center"/>
          </w:tcPr>
          <w:p>
            <w:pPr>
              <w:pStyle w:val="13"/>
              <w:spacing w:before="62" w:after="62" w:line="360" w:lineRule="auto"/>
              <w:ind w:left="63" w:right="63"/>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招标人要求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614" w:type="dxa"/>
            <w:vMerge w:val="continue"/>
            <w:tcMar>
              <w:left w:w="0" w:type="dxa"/>
              <w:right w:w="0" w:type="dxa"/>
            </w:tcMar>
            <w:vAlign w:val="center"/>
          </w:tcPr>
          <w:p>
            <w:pPr>
              <w:pStyle w:val="13"/>
              <w:spacing w:before="62" w:after="62" w:line="360" w:lineRule="auto"/>
              <w:ind w:left="63" w:right="63"/>
              <w:rPr>
                <w:rFonts w:hint="eastAsia" w:ascii="宋体" w:hAnsi="宋体" w:eastAsia="宋体" w:cs="宋体"/>
                <w:kern w:val="2"/>
                <w:sz w:val="21"/>
                <w:szCs w:val="22"/>
                <w:lang w:val="en-US" w:eastAsia="zh-CN" w:bidi="ar-SA"/>
              </w:rPr>
            </w:pPr>
          </w:p>
        </w:tc>
        <w:tc>
          <w:tcPr>
            <w:tcW w:w="2944" w:type="dxa"/>
            <w:vMerge w:val="continue"/>
            <w:tcMar>
              <w:left w:w="0" w:type="dxa"/>
              <w:right w:w="0" w:type="dxa"/>
            </w:tcMar>
            <w:vAlign w:val="center"/>
          </w:tcPr>
          <w:p>
            <w:pPr>
              <w:pStyle w:val="13"/>
              <w:spacing w:before="62" w:after="62" w:line="360" w:lineRule="auto"/>
              <w:ind w:left="63" w:right="63"/>
              <w:rPr>
                <w:rFonts w:hint="eastAsia" w:ascii="宋体" w:hAnsi="宋体" w:eastAsia="宋体" w:cs="宋体"/>
                <w:kern w:val="2"/>
                <w:sz w:val="21"/>
                <w:szCs w:val="22"/>
                <w:lang w:val="en-US" w:eastAsia="zh-CN" w:bidi="ar-SA"/>
              </w:rPr>
            </w:pPr>
          </w:p>
        </w:tc>
        <w:tc>
          <w:tcPr>
            <w:tcW w:w="781" w:type="dxa"/>
            <w:vMerge w:val="continue"/>
            <w:tcMar>
              <w:left w:w="0" w:type="dxa"/>
              <w:right w:w="0" w:type="dxa"/>
            </w:tcMar>
            <w:vAlign w:val="center"/>
          </w:tcPr>
          <w:p>
            <w:pPr>
              <w:pStyle w:val="13"/>
              <w:spacing w:before="62" w:after="62" w:line="360" w:lineRule="auto"/>
              <w:ind w:left="63" w:right="63"/>
              <w:rPr>
                <w:rFonts w:hint="eastAsia" w:ascii="宋体" w:hAnsi="宋体" w:eastAsia="宋体" w:cs="宋体"/>
                <w:kern w:val="2"/>
                <w:sz w:val="21"/>
                <w:szCs w:val="22"/>
                <w:lang w:val="en-US" w:eastAsia="zh-CN" w:bidi="ar-SA"/>
              </w:rPr>
            </w:pPr>
          </w:p>
        </w:tc>
        <w:tc>
          <w:tcPr>
            <w:tcW w:w="3468" w:type="dxa"/>
            <w:tcMar>
              <w:left w:w="0" w:type="dxa"/>
              <w:right w:w="0" w:type="dxa"/>
            </w:tcMar>
            <w:vAlign w:val="center"/>
          </w:tcPr>
          <w:p>
            <w:pPr>
              <w:pStyle w:val="13"/>
              <w:spacing w:before="62" w:after="62" w:line="360" w:lineRule="auto"/>
              <w:ind w:left="63" w:right="63"/>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型式、规格</w:t>
            </w:r>
          </w:p>
        </w:tc>
        <w:tc>
          <w:tcPr>
            <w:tcW w:w="1417" w:type="dxa"/>
            <w:tcMar>
              <w:left w:w="0" w:type="dxa"/>
              <w:right w:w="0" w:type="dxa"/>
            </w:tcMar>
            <w:vAlign w:val="center"/>
          </w:tcPr>
          <w:p>
            <w:pPr>
              <w:pStyle w:val="13"/>
              <w:spacing w:before="62" w:after="62" w:line="360" w:lineRule="auto"/>
              <w:ind w:left="63" w:right="63"/>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数量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c>
          <w:tcPr>
            <w:tcW w:w="614" w:type="dxa"/>
            <w:tcMar>
              <w:left w:w="0" w:type="dxa"/>
              <w:right w:w="0" w:type="dxa"/>
            </w:tcMar>
            <w:vAlign w:val="center"/>
          </w:tcPr>
          <w:p>
            <w:pPr>
              <w:pStyle w:val="13"/>
              <w:spacing w:before="62" w:after="62" w:line="360" w:lineRule="auto"/>
              <w:ind w:left="63" w:right="63"/>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1</w:t>
            </w:r>
          </w:p>
        </w:tc>
        <w:tc>
          <w:tcPr>
            <w:tcW w:w="2944" w:type="dxa"/>
            <w:tcMar>
              <w:left w:w="0" w:type="dxa"/>
              <w:right w:w="0" w:type="dxa"/>
            </w:tcMar>
            <w:vAlign w:val="center"/>
          </w:tcPr>
          <w:p>
            <w:pPr>
              <w:spacing w:line="360" w:lineRule="auto"/>
              <w:jc w:val="center"/>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防恶意代码客户端管理模块安装</w:t>
            </w:r>
          </w:p>
        </w:tc>
        <w:tc>
          <w:tcPr>
            <w:tcW w:w="781" w:type="dxa"/>
            <w:tcMar>
              <w:left w:w="0" w:type="dxa"/>
              <w:right w:w="0" w:type="dxa"/>
            </w:tcMar>
            <w:vAlign w:val="center"/>
          </w:tcPr>
          <w:p>
            <w:pPr>
              <w:spacing w:line="360" w:lineRule="auto"/>
              <w:jc w:val="center"/>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套</w:t>
            </w:r>
          </w:p>
        </w:tc>
        <w:tc>
          <w:tcPr>
            <w:tcW w:w="3468" w:type="dxa"/>
            <w:tcMar>
              <w:left w:w="0" w:type="dxa"/>
              <w:right w:w="0" w:type="dxa"/>
            </w:tcMar>
            <w:vAlign w:val="top"/>
          </w:tcPr>
          <w:p>
            <w:pPr>
              <w:spacing w:line="360" w:lineRule="auto"/>
              <w:jc w:val="left"/>
              <w:rPr>
                <w:rFonts w:hint="default"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设备的上架安装、布线、软件安装、调度主站测试级联等。恶意代码防护管理中心部署于安全二区，依托一二区防火墙实现跨区通信，为一、二区所有主机类设备安装恶意代码防护客户端，全部接入管理中心实行统一集中管控。</w:t>
            </w:r>
          </w:p>
        </w:tc>
        <w:tc>
          <w:tcPr>
            <w:tcW w:w="1417" w:type="dxa"/>
            <w:tcMar>
              <w:left w:w="0" w:type="dxa"/>
              <w:right w:w="0" w:type="dxa"/>
            </w:tcMar>
            <w:vAlign w:val="center"/>
          </w:tcPr>
          <w:p>
            <w:pPr>
              <w:spacing w:line="360" w:lineRule="auto"/>
              <w:jc w:val="center"/>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614" w:type="dxa"/>
            <w:tcMar>
              <w:left w:w="0" w:type="dxa"/>
              <w:right w:w="0" w:type="dxa"/>
            </w:tcMar>
            <w:vAlign w:val="center"/>
          </w:tcPr>
          <w:p>
            <w:pPr>
              <w:pStyle w:val="13"/>
              <w:spacing w:before="62" w:after="62" w:line="360" w:lineRule="auto"/>
              <w:ind w:left="63" w:right="63"/>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2</w:t>
            </w:r>
          </w:p>
        </w:tc>
        <w:tc>
          <w:tcPr>
            <w:tcW w:w="2944" w:type="dxa"/>
            <w:tcMar>
              <w:left w:w="0" w:type="dxa"/>
              <w:right w:w="0" w:type="dxa"/>
            </w:tcMar>
            <w:vAlign w:val="center"/>
          </w:tcPr>
          <w:p>
            <w:pPr>
              <w:spacing w:line="360" w:lineRule="auto"/>
              <w:jc w:val="center"/>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入侵检测系统安装</w:t>
            </w:r>
          </w:p>
        </w:tc>
        <w:tc>
          <w:tcPr>
            <w:tcW w:w="781" w:type="dxa"/>
            <w:tcMar>
              <w:left w:w="0" w:type="dxa"/>
              <w:right w:w="0" w:type="dxa"/>
            </w:tcMar>
            <w:vAlign w:val="center"/>
          </w:tcPr>
          <w:p>
            <w:pPr>
              <w:spacing w:line="360" w:lineRule="auto"/>
              <w:jc w:val="center"/>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套</w:t>
            </w:r>
          </w:p>
        </w:tc>
        <w:tc>
          <w:tcPr>
            <w:tcW w:w="3468" w:type="dxa"/>
            <w:tcMar>
              <w:left w:w="0" w:type="dxa"/>
              <w:right w:w="0" w:type="dxa"/>
            </w:tcMar>
            <w:vAlign w:val="top"/>
          </w:tcPr>
          <w:p>
            <w:pPr>
              <w:spacing w:line="360" w:lineRule="auto"/>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设备上架、布线、与交换机镜像流量策略调试。</w:t>
            </w:r>
            <w:r>
              <w:rPr>
                <w:rFonts w:hint="eastAsia" w:ascii="宋体" w:hAnsi="宋体" w:eastAsia="宋体" w:cs="宋体"/>
              </w:rPr>
              <w:t>在安全一区、二区各部署一套，通过流量镜像方式采集两区全部网络流量，实现厂站生产大区一、二区网络安全威胁实时感知与智能分析</w:t>
            </w:r>
            <w:r>
              <w:rPr>
                <w:rFonts w:hint="eastAsia" w:ascii="宋体" w:hAnsi="宋体" w:eastAsia="宋体" w:cs="宋体"/>
                <w:lang w:eastAsia="zh-CN"/>
              </w:rPr>
              <w:t>。</w:t>
            </w:r>
          </w:p>
        </w:tc>
        <w:tc>
          <w:tcPr>
            <w:tcW w:w="1417" w:type="dxa"/>
            <w:tcMar>
              <w:left w:w="0" w:type="dxa"/>
              <w:right w:w="0" w:type="dxa"/>
            </w:tcMar>
            <w:vAlign w:val="center"/>
          </w:tcPr>
          <w:p>
            <w:pPr>
              <w:spacing w:line="360" w:lineRule="auto"/>
              <w:jc w:val="center"/>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614" w:type="dxa"/>
            <w:tcMar>
              <w:left w:w="0" w:type="dxa"/>
              <w:right w:w="0" w:type="dxa"/>
            </w:tcMar>
            <w:vAlign w:val="center"/>
          </w:tcPr>
          <w:p>
            <w:pPr>
              <w:pStyle w:val="13"/>
              <w:spacing w:before="62" w:after="62" w:line="360" w:lineRule="auto"/>
              <w:ind w:left="63" w:right="63"/>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3</w:t>
            </w:r>
          </w:p>
        </w:tc>
        <w:tc>
          <w:tcPr>
            <w:tcW w:w="2944" w:type="dxa"/>
            <w:tcMar>
              <w:left w:w="0" w:type="dxa"/>
              <w:right w:w="0" w:type="dxa"/>
            </w:tcMar>
            <w:vAlign w:val="center"/>
          </w:tcPr>
          <w:p>
            <w:pPr>
              <w:spacing w:line="360" w:lineRule="auto"/>
              <w:jc w:val="center"/>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日志审计安装</w:t>
            </w:r>
          </w:p>
        </w:tc>
        <w:tc>
          <w:tcPr>
            <w:tcW w:w="781" w:type="dxa"/>
            <w:tcMar>
              <w:left w:w="0" w:type="dxa"/>
              <w:right w:w="0" w:type="dxa"/>
            </w:tcMar>
            <w:vAlign w:val="center"/>
          </w:tcPr>
          <w:p>
            <w:pPr>
              <w:spacing w:line="360" w:lineRule="auto"/>
              <w:jc w:val="center"/>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套</w:t>
            </w:r>
          </w:p>
        </w:tc>
        <w:tc>
          <w:tcPr>
            <w:tcW w:w="3468" w:type="dxa"/>
            <w:tcMar>
              <w:left w:w="0" w:type="dxa"/>
              <w:right w:w="0" w:type="dxa"/>
            </w:tcMar>
            <w:vAlign w:val="top"/>
          </w:tcPr>
          <w:p>
            <w:pPr>
              <w:spacing w:line="360" w:lineRule="auto"/>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设备上架、布线、接入各安全区的工作站、在服务器。在安全二区部署日志审计系统，接入二区工作站服务器，同时通过一二区防火墙接入一区工作站服务器。</w:t>
            </w:r>
          </w:p>
        </w:tc>
        <w:tc>
          <w:tcPr>
            <w:tcW w:w="1417" w:type="dxa"/>
            <w:tcMar>
              <w:left w:w="0" w:type="dxa"/>
              <w:right w:w="0" w:type="dxa"/>
            </w:tcMar>
            <w:vAlign w:val="center"/>
          </w:tcPr>
          <w:p>
            <w:pPr>
              <w:spacing w:line="360" w:lineRule="auto"/>
              <w:jc w:val="center"/>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614" w:type="dxa"/>
            <w:tcMar>
              <w:left w:w="0" w:type="dxa"/>
              <w:right w:w="0" w:type="dxa"/>
            </w:tcMar>
            <w:vAlign w:val="center"/>
          </w:tcPr>
          <w:p>
            <w:pPr>
              <w:pStyle w:val="13"/>
              <w:spacing w:before="62" w:after="62" w:line="360" w:lineRule="auto"/>
              <w:ind w:left="63" w:right="63"/>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4</w:t>
            </w:r>
          </w:p>
        </w:tc>
        <w:tc>
          <w:tcPr>
            <w:tcW w:w="2944" w:type="dxa"/>
            <w:tcMar>
              <w:left w:w="0" w:type="dxa"/>
              <w:right w:w="0" w:type="dxa"/>
            </w:tcMar>
            <w:vAlign w:val="center"/>
          </w:tcPr>
          <w:p>
            <w:pPr>
              <w:spacing w:line="360" w:lineRule="auto"/>
              <w:jc w:val="center"/>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USB隔离装置</w:t>
            </w:r>
          </w:p>
        </w:tc>
        <w:tc>
          <w:tcPr>
            <w:tcW w:w="781" w:type="dxa"/>
            <w:tcMar>
              <w:left w:w="0" w:type="dxa"/>
              <w:right w:w="0" w:type="dxa"/>
            </w:tcMar>
            <w:vAlign w:val="center"/>
          </w:tcPr>
          <w:p>
            <w:pPr>
              <w:spacing w:line="360" w:lineRule="auto"/>
              <w:jc w:val="center"/>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套</w:t>
            </w:r>
          </w:p>
        </w:tc>
        <w:tc>
          <w:tcPr>
            <w:tcW w:w="3468" w:type="dxa"/>
            <w:tcMar>
              <w:left w:w="0" w:type="dxa"/>
              <w:right w:w="0" w:type="dxa"/>
            </w:tcMar>
            <w:vAlign w:val="top"/>
          </w:tcPr>
          <w:p>
            <w:pPr>
              <w:spacing w:line="360" w:lineRule="auto"/>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隔离装置及管理平台上架安装、布线、软件安装调试。在安全二区部署USB隔离装置，接入至二区所有工作站/服务器，同时通过一二区防火墙接入至一区所有工作站/服务器。</w:t>
            </w:r>
          </w:p>
        </w:tc>
        <w:tc>
          <w:tcPr>
            <w:tcW w:w="1417" w:type="dxa"/>
            <w:tcMar>
              <w:left w:w="0" w:type="dxa"/>
              <w:right w:w="0" w:type="dxa"/>
            </w:tcMar>
            <w:vAlign w:val="center"/>
          </w:tcPr>
          <w:p>
            <w:pPr>
              <w:spacing w:line="360" w:lineRule="auto"/>
              <w:jc w:val="center"/>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614" w:type="dxa"/>
            <w:tcMar>
              <w:left w:w="0" w:type="dxa"/>
              <w:right w:w="0" w:type="dxa"/>
            </w:tcMar>
            <w:vAlign w:val="center"/>
          </w:tcPr>
          <w:p>
            <w:pPr>
              <w:pStyle w:val="13"/>
              <w:spacing w:before="62" w:after="62" w:line="360" w:lineRule="auto"/>
              <w:ind w:left="63" w:right="63"/>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5</w:t>
            </w:r>
          </w:p>
        </w:tc>
        <w:tc>
          <w:tcPr>
            <w:tcW w:w="2944" w:type="dxa"/>
            <w:tcMar>
              <w:left w:w="0" w:type="dxa"/>
              <w:right w:w="0" w:type="dxa"/>
            </w:tcMar>
            <w:vAlign w:val="center"/>
          </w:tcPr>
          <w:p>
            <w:pPr>
              <w:spacing w:line="360" w:lineRule="auto"/>
              <w:jc w:val="center"/>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安全加固</w:t>
            </w:r>
          </w:p>
        </w:tc>
        <w:tc>
          <w:tcPr>
            <w:tcW w:w="781" w:type="dxa"/>
            <w:tcMar>
              <w:left w:w="0" w:type="dxa"/>
              <w:right w:w="0" w:type="dxa"/>
            </w:tcMar>
            <w:vAlign w:val="center"/>
          </w:tcPr>
          <w:p>
            <w:pPr>
              <w:spacing w:line="360" w:lineRule="auto"/>
              <w:jc w:val="center"/>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套</w:t>
            </w:r>
          </w:p>
        </w:tc>
        <w:tc>
          <w:tcPr>
            <w:tcW w:w="3468" w:type="dxa"/>
            <w:tcMar>
              <w:left w:w="0" w:type="dxa"/>
              <w:right w:w="0" w:type="dxa"/>
            </w:tcMar>
            <w:vAlign w:val="top"/>
          </w:tcPr>
          <w:p>
            <w:pPr>
              <w:spacing w:line="360" w:lineRule="auto"/>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对电力监控系统涉及到的工作站、服务器提供系统加固服务</w:t>
            </w:r>
          </w:p>
        </w:tc>
        <w:tc>
          <w:tcPr>
            <w:tcW w:w="1417" w:type="dxa"/>
            <w:tcMar>
              <w:left w:w="0" w:type="dxa"/>
              <w:right w:w="0" w:type="dxa"/>
            </w:tcMar>
            <w:vAlign w:val="center"/>
          </w:tcPr>
          <w:p>
            <w:pPr>
              <w:spacing w:line="360" w:lineRule="auto"/>
              <w:jc w:val="center"/>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614" w:type="dxa"/>
            <w:tcMar>
              <w:left w:w="0" w:type="dxa"/>
              <w:right w:w="0" w:type="dxa"/>
            </w:tcMar>
            <w:vAlign w:val="center"/>
          </w:tcPr>
          <w:p>
            <w:pPr>
              <w:pStyle w:val="13"/>
              <w:spacing w:before="62" w:after="62" w:line="360" w:lineRule="auto"/>
              <w:ind w:left="63" w:leftChars="30" w:right="63" w:rightChars="30"/>
              <w:rPr>
                <w:rFonts w:hint="eastAsia" w:ascii="宋体" w:hAnsi="宋体" w:eastAsia="宋体" w:cs="宋体"/>
                <w:kern w:val="2"/>
                <w:sz w:val="21"/>
                <w:szCs w:val="22"/>
                <w:lang w:val="en-US" w:eastAsia="zh-CN" w:bidi="ar-SA"/>
              </w:rPr>
            </w:pPr>
            <w:r>
              <w:rPr>
                <w:rFonts w:hint="eastAsia" w:ascii="宋体" w:hAnsi="宋体" w:cs="宋体"/>
                <w:kern w:val="2"/>
                <w:sz w:val="21"/>
                <w:szCs w:val="22"/>
                <w:lang w:val="en-US" w:eastAsia="zh-CN" w:bidi="ar-SA"/>
              </w:rPr>
              <w:t>7</w:t>
            </w:r>
          </w:p>
        </w:tc>
        <w:tc>
          <w:tcPr>
            <w:tcW w:w="2944" w:type="dxa"/>
            <w:tcMar>
              <w:left w:w="0" w:type="dxa"/>
              <w:right w:w="0" w:type="dxa"/>
            </w:tcMar>
            <w:vAlign w:val="center"/>
          </w:tcPr>
          <w:p>
            <w:pPr>
              <w:pStyle w:val="13"/>
              <w:spacing w:before="43" w:beforeLines="14" w:after="43" w:afterLines="14" w:line="360" w:lineRule="auto"/>
              <w:ind w:left="63" w:leftChars="30" w:right="0" w:rightChars="0"/>
              <w:jc w:val="center"/>
              <w:rPr>
                <w:rFonts w:hint="eastAsia" w:ascii="宋体" w:hAnsi="宋体" w:eastAsia="宋体" w:cs="宋体"/>
                <w:kern w:val="2"/>
                <w:sz w:val="21"/>
                <w:szCs w:val="22"/>
                <w:lang w:val="en-US" w:eastAsia="zh-CN" w:bidi="ar-SA"/>
              </w:rPr>
            </w:pPr>
            <w:r>
              <w:rPr>
                <w:rFonts w:hint="eastAsia" w:ascii="宋体" w:hAnsi="宋体" w:cs="宋体"/>
                <w:kern w:val="2"/>
                <w:sz w:val="21"/>
                <w:szCs w:val="22"/>
                <w:lang w:val="en-US" w:eastAsia="zh-CN" w:bidi="ar-SA"/>
              </w:rPr>
              <w:t>网络安全监测装置</w:t>
            </w:r>
          </w:p>
        </w:tc>
        <w:tc>
          <w:tcPr>
            <w:tcW w:w="781" w:type="dxa"/>
            <w:tcMar>
              <w:left w:w="0" w:type="dxa"/>
              <w:right w:w="0" w:type="dxa"/>
            </w:tcMar>
            <w:vAlign w:val="center"/>
          </w:tcPr>
          <w:p>
            <w:pPr>
              <w:spacing w:before="43" w:beforeLines="14" w:after="43" w:afterLines="14" w:line="360" w:lineRule="auto"/>
              <w:ind w:left="63" w:leftChars="0"/>
              <w:jc w:val="center"/>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套</w:t>
            </w:r>
          </w:p>
        </w:tc>
        <w:tc>
          <w:tcPr>
            <w:tcW w:w="3468" w:type="dxa"/>
            <w:tcMar>
              <w:left w:w="0" w:type="dxa"/>
              <w:right w:w="0" w:type="dxa"/>
            </w:tcMar>
            <w:vAlign w:val="top"/>
          </w:tcPr>
          <w:p>
            <w:pPr>
              <w:spacing w:line="360" w:lineRule="auto"/>
              <w:jc w:val="left"/>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原设备拆除，新设备上架、布线、接入。同时，需严格按照调度“应接尽接”要求，完成安全一区、二区各项资产的接入工作；对于暂不支持接入的资产，待电厂后续技术改造完成、具备接入条件后，供应商需无偿到场完成接入操作。此外，需优化网络安全白名单配置，按规范逐项开展告警测试工作，并与调度主站做好各项数据、记录的核对，确保所有接入及测试工作符合调度要求，留存完整核对记录备查。</w:t>
            </w:r>
          </w:p>
          <w:p>
            <w:pPr>
              <w:spacing w:line="360" w:lineRule="auto"/>
              <w:jc w:val="left"/>
              <w:rPr>
                <w:rFonts w:hint="default"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安全一区、二区业务多，但现有网络安全监测装置网口数量有限。为避免各安全大区独立业务在接入网络安全监测装置过程中出现网络耦合问题，需充分利旧电厂现有两台防火墙，将各独立业务先接入对应防火墙，再由防火墙接入网络安全监测装置。同时，需对相应防火墙做好策略配置，实现各业务间的逻辑隔离，确保各业务原有网络架构的独立性不受影响。</w:t>
            </w:r>
          </w:p>
        </w:tc>
        <w:tc>
          <w:tcPr>
            <w:tcW w:w="1417" w:type="dxa"/>
            <w:tcMar>
              <w:left w:w="0" w:type="dxa"/>
              <w:right w:w="0" w:type="dxa"/>
            </w:tcMar>
            <w:vAlign w:val="center"/>
          </w:tcPr>
          <w:p>
            <w:pPr>
              <w:pStyle w:val="13"/>
              <w:spacing w:before="43" w:beforeLines="14" w:after="43" w:afterLines="14" w:line="360" w:lineRule="auto"/>
              <w:ind w:left="63" w:leftChars="30" w:right="0" w:rightChars="0"/>
              <w:jc w:val="center"/>
              <w:rPr>
                <w:rFonts w:hint="eastAsia" w:ascii="宋体" w:hAnsi="宋体" w:eastAsia="宋体" w:cs="宋体"/>
                <w:kern w:val="2"/>
                <w:sz w:val="21"/>
                <w:szCs w:val="22"/>
                <w:lang w:val="en-US" w:eastAsia="zh-CN" w:bidi="ar-SA"/>
              </w:rPr>
            </w:pPr>
            <w:r>
              <w:rPr>
                <w:rFonts w:hint="eastAsia" w:ascii="宋体" w:hAnsi="宋体" w:cs="宋体"/>
                <w:kern w:val="2"/>
                <w:sz w:val="21"/>
                <w:szCs w:val="22"/>
                <w:lang w:val="en-US" w:eastAsia="zh-CN" w:bidi="ar-SA"/>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614" w:type="dxa"/>
            <w:tcMar>
              <w:left w:w="0" w:type="dxa"/>
              <w:right w:w="0" w:type="dxa"/>
            </w:tcMar>
            <w:vAlign w:val="center"/>
          </w:tcPr>
          <w:p>
            <w:pPr>
              <w:pStyle w:val="13"/>
              <w:spacing w:before="62" w:after="62" w:line="360" w:lineRule="auto"/>
              <w:ind w:left="63" w:leftChars="30" w:right="63" w:rightChars="30"/>
              <w:rPr>
                <w:rFonts w:hint="eastAsia" w:ascii="宋体" w:hAnsi="宋体" w:eastAsia="宋体" w:cs="宋体"/>
                <w:kern w:val="2"/>
                <w:sz w:val="21"/>
                <w:szCs w:val="22"/>
                <w:lang w:val="en-US" w:eastAsia="zh-CN" w:bidi="ar-SA"/>
              </w:rPr>
            </w:pPr>
            <w:r>
              <w:rPr>
                <w:rFonts w:hint="eastAsia" w:ascii="宋体" w:hAnsi="宋体" w:cs="宋体"/>
                <w:kern w:val="2"/>
                <w:sz w:val="21"/>
                <w:szCs w:val="22"/>
                <w:lang w:val="en-US" w:eastAsia="zh-CN" w:bidi="ar-SA"/>
              </w:rPr>
              <w:t>8</w:t>
            </w:r>
          </w:p>
        </w:tc>
        <w:tc>
          <w:tcPr>
            <w:tcW w:w="2944" w:type="dxa"/>
            <w:tcMar>
              <w:left w:w="0" w:type="dxa"/>
              <w:right w:w="0" w:type="dxa"/>
            </w:tcMar>
            <w:vAlign w:val="center"/>
          </w:tcPr>
          <w:p>
            <w:pPr>
              <w:pStyle w:val="13"/>
              <w:spacing w:before="43" w:beforeLines="14" w:after="43" w:afterLines="14" w:line="360" w:lineRule="auto"/>
              <w:ind w:left="63" w:leftChars="30" w:right="0" w:rightChars="0"/>
              <w:jc w:val="center"/>
              <w:rPr>
                <w:rFonts w:hint="eastAsia" w:ascii="宋体" w:hAnsi="宋体" w:eastAsia="宋体" w:cs="宋体"/>
                <w:kern w:val="2"/>
                <w:sz w:val="21"/>
                <w:szCs w:val="22"/>
                <w:lang w:val="en-US" w:eastAsia="zh-CN" w:bidi="ar-SA"/>
              </w:rPr>
            </w:pPr>
            <w:r>
              <w:rPr>
                <w:rFonts w:hint="eastAsia" w:ascii="宋体" w:hAnsi="宋体" w:cs="宋体"/>
                <w:kern w:val="2"/>
                <w:sz w:val="21"/>
                <w:szCs w:val="22"/>
                <w:lang w:val="en-US" w:eastAsia="zh-CN" w:bidi="ar-SA"/>
              </w:rPr>
              <w:t>电力专用屏柜</w:t>
            </w:r>
          </w:p>
        </w:tc>
        <w:tc>
          <w:tcPr>
            <w:tcW w:w="781" w:type="dxa"/>
            <w:tcMar>
              <w:left w:w="0" w:type="dxa"/>
              <w:right w:w="0" w:type="dxa"/>
            </w:tcMar>
            <w:vAlign w:val="center"/>
          </w:tcPr>
          <w:p>
            <w:pPr>
              <w:spacing w:before="43" w:beforeLines="14" w:after="43" w:afterLines="14" w:line="360" w:lineRule="auto"/>
              <w:ind w:left="63" w:leftChars="0"/>
              <w:jc w:val="center"/>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套</w:t>
            </w:r>
          </w:p>
        </w:tc>
        <w:tc>
          <w:tcPr>
            <w:tcW w:w="3468" w:type="dxa"/>
            <w:tcMar>
              <w:left w:w="0" w:type="dxa"/>
              <w:right w:w="0" w:type="dxa"/>
            </w:tcMar>
            <w:vAlign w:val="top"/>
          </w:tcPr>
          <w:p>
            <w:pPr>
              <w:spacing w:line="360" w:lineRule="auto"/>
              <w:jc w:val="left"/>
              <w:rPr>
                <w:rFonts w:hint="default" w:ascii="宋体" w:hAnsi="宋体" w:eastAsia="宋体" w:cs="宋体"/>
                <w:kern w:val="2"/>
                <w:sz w:val="21"/>
                <w:szCs w:val="22"/>
                <w:lang w:val="en-US" w:eastAsia="zh-CN" w:bidi="ar-SA"/>
              </w:rPr>
            </w:pPr>
            <w:r>
              <w:rPr>
                <w:rFonts w:hint="default" w:ascii="宋体" w:hAnsi="宋体" w:eastAsia="宋体" w:cs="宋体"/>
                <w:kern w:val="2"/>
                <w:sz w:val="21"/>
                <w:szCs w:val="22"/>
                <w:lang w:val="en-US" w:eastAsia="zh-CN" w:bidi="ar-SA"/>
              </w:rPr>
              <w:t>电力专用屏柜需提供现场立屏、内部配线服务，并配套完成双路供电电源的敷设工作，确保屏柜安装规范、配线整齐、供电稳定，满足现场运行及安全要求。</w:t>
            </w:r>
          </w:p>
        </w:tc>
        <w:tc>
          <w:tcPr>
            <w:tcW w:w="1417" w:type="dxa"/>
            <w:tcMar>
              <w:left w:w="0" w:type="dxa"/>
              <w:right w:w="0" w:type="dxa"/>
            </w:tcMar>
            <w:vAlign w:val="center"/>
          </w:tcPr>
          <w:p>
            <w:pPr>
              <w:pStyle w:val="13"/>
              <w:spacing w:before="43" w:beforeLines="14" w:after="43" w:afterLines="14" w:line="360" w:lineRule="auto"/>
              <w:ind w:left="63" w:leftChars="30" w:right="0" w:rightChars="0"/>
              <w:jc w:val="center"/>
              <w:rPr>
                <w:rFonts w:hint="eastAsia" w:ascii="宋体" w:hAnsi="宋体" w:eastAsia="宋体" w:cs="宋体"/>
                <w:kern w:val="2"/>
                <w:sz w:val="21"/>
                <w:szCs w:val="22"/>
                <w:lang w:val="en-US" w:eastAsia="zh-CN" w:bidi="ar-SA"/>
              </w:rPr>
            </w:pPr>
            <w:r>
              <w:rPr>
                <w:rFonts w:hint="eastAsia" w:ascii="宋体" w:hAnsi="宋体" w:cs="宋体"/>
                <w:kern w:val="2"/>
                <w:sz w:val="21"/>
                <w:szCs w:val="22"/>
                <w:lang w:val="en-US" w:eastAsia="zh-CN" w:bidi="ar-SA"/>
              </w:rPr>
              <w:t>1</w:t>
            </w:r>
          </w:p>
        </w:tc>
      </w:tr>
    </w:tbl>
    <w:p>
      <w:pPr>
        <w:adjustRightInd w:val="0"/>
        <w:snapToGrid w:val="0"/>
        <w:spacing w:line="360" w:lineRule="auto"/>
        <w:ind w:firstLine="422" w:firstLineChars="200"/>
        <w:outlineLvl w:val="0"/>
        <w:rPr>
          <w:rFonts w:hint="eastAsia" w:ascii="宋体" w:hAnsi="宋体" w:eastAsia="宋体" w:cs="Times New Roman"/>
          <w:b/>
          <w:bCs/>
          <w:sz w:val="24"/>
          <w:lang w:val="en-US" w:eastAsia="zh-CN"/>
        </w:rPr>
      </w:pPr>
      <w:r>
        <w:rPr>
          <w:rFonts w:hint="eastAsia" w:ascii="宋体" w:hAnsi="宋体" w:eastAsia="宋体" w:cs="宋体"/>
          <w:b/>
          <w:bCs/>
          <w:lang w:val="en-US" w:eastAsia="zh-CN"/>
        </w:rPr>
        <w:t>七、包装，运输和储存</w:t>
      </w:r>
    </w:p>
    <w:bookmarkEnd w:id="356"/>
    <w:bookmarkEnd w:id="357"/>
    <w:bookmarkEnd w:id="358"/>
    <w:bookmarkEnd w:id="359"/>
    <w:p>
      <w:pPr>
        <w:adjustRightInd w:val="0"/>
        <w:snapToGrid w:val="0"/>
        <w:spacing w:line="360" w:lineRule="auto"/>
        <w:ind w:left="560" w:firstLine="480"/>
        <w:rPr>
          <w:rFonts w:hint="eastAsia" w:ascii="宋体" w:hAnsi="宋体" w:eastAsia="宋体" w:cs="宋体"/>
          <w:lang w:val="en-US" w:eastAsia="zh-CN"/>
        </w:rPr>
      </w:pPr>
      <w:bookmarkStart w:id="360" w:name="_Toc425259457"/>
      <w:r>
        <w:rPr>
          <w:rFonts w:hint="eastAsia" w:ascii="宋体" w:hAnsi="宋体" w:eastAsia="宋体" w:cs="宋体"/>
          <w:lang w:val="en-US" w:eastAsia="zh-CN"/>
        </w:rPr>
        <w:t>通用部分</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7.1.1设备在出厂之前，应对设备进行清理、清洁，所有杂物和异物都应从各部件内清除。</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 xml:space="preserve">7.1.2乙方提供的全部设备均应按标准保护要求进行包装，并装设必要的标识、标志，确保设备安全无损运抵现场。由于保护措施不善所引起的设备锈蚀、损坏等损失均由乙方承担。 </w:t>
      </w:r>
      <w:bookmarkStart w:id="361" w:name="_Toc141448025"/>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7.1.3设备发出前，乙方应通知甲方。</w:t>
      </w:r>
      <w:bookmarkEnd w:id="361"/>
      <w:bookmarkStart w:id="362" w:name="_Toc141448028"/>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7.1.4乙方应提供所有设备、部件、材料等的保管方法的说明。</w:t>
      </w:r>
      <w:bookmarkEnd w:id="362"/>
    </w:p>
    <w:p>
      <w:pPr>
        <w:adjustRightInd w:val="0"/>
        <w:snapToGrid w:val="0"/>
        <w:spacing w:line="360" w:lineRule="auto"/>
        <w:ind w:left="560" w:firstLine="480"/>
        <w:rPr>
          <w:rFonts w:hint="eastAsia" w:ascii="宋体" w:hAnsi="宋体" w:eastAsia="宋体" w:cs="宋体"/>
          <w:lang w:val="en-US" w:eastAsia="zh-CN"/>
        </w:rPr>
      </w:pPr>
      <w:bookmarkStart w:id="363" w:name="_Toc8017"/>
      <w:bookmarkStart w:id="364" w:name="_Toc13898_WPSOffice_Level2"/>
      <w:r>
        <w:rPr>
          <w:rFonts w:hint="eastAsia" w:ascii="宋体" w:hAnsi="宋体" w:eastAsia="宋体" w:cs="宋体"/>
          <w:lang w:val="en-US" w:eastAsia="zh-CN"/>
        </w:rPr>
        <w:t>专用部分</w:t>
      </w:r>
      <w:bookmarkEnd w:id="363"/>
      <w:bookmarkEnd w:id="364"/>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7.1.5设备发运前，乙方应提前7天通过传真或航空邮件方式通知甲方，通知中指明设备名称、件数、件号、重量、合同号、货运单号、设备发出日期等信息。</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7.1.6设备运输由乙方负责。</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7.1.7每个包装箱内均应有装箱清单，包装箱侧面以不褪色涂料标注发货标识。</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7.1.8运输：汽车或铁路运输、空运，为防止设备器材被窃或受腐蚀元素、雨水损坏，不采用敞开式的板条箱和类似包装。</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7.1.9乙方供给的设备（无论装在箱内或成捆的散件）的包装，都应贴有标明合同号、主要备件名称、部件名称和组装图上的部件位置号的标签，备品备件和专用工具标明“备品配件”和“工具”字样。</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7.1.10对装箱供给的设备，乙方在每个箱子的两面用油漆写下如下内容：</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合同号、装运标志、目的地、收货人代码、设备名称和项目号（箱号、箱的序号、设备总件数），数量、重量、毛重、净重、外形尺寸（长×宽×高），生产日期、生产工厂、发货单位等，符合GB6388的规定。</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按照设备特性和不同运输及装卸要求，在箱上明显位置标上“小心”“向上”“防潮”“勿倒”“怕热”“由此吊起”等通用标志，并符合GB191和GB6388的规定。</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7.1.11货物到达目的地后，买卖双方组织对货物的外观及件数进行验收，发现不符，由双方代表确认卖方责任后由卖方处理解决，其它协商解决。</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7.1.12备品备件和专用工具的交货随设备部件的交货及时提供。</w:t>
      </w:r>
    </w:p>
    <w:p>
      <w:pPr>
        <w:adjustRightInd w:val="0"/>
        <w:snapToGrid w:val="0"/>
        <w:spacing w:line="360" w:lineRule="auto"/>
        <w:ind w:firstLine="422" w:firstLineChars="200"/>
        <w:outlineLvl w:val="0"/>
        <w:rPr>
          <w:rFonts w:hint="eastAsia" w:ascii="宋体" w:hAnsi="宋体" w:eastAsia="宋体" w:cs="宋体"/>
          <w:b/>
          <w:bCs/>
          <w:lang w:val="en-US" w:eastAsia="zh-CN"/>
        </w:rPr>
      </w:pPr>
      <w:r>
        <w:rPr>
          <w:rFonts w:hint="eastAsia" w:ascii="宋体" w:hAnsi="宋体" w:eastAsia="宋体" w:cs="宋体"/>
          <w:b/>
          <w:bCs/>
          <w:lang w:val="en-US" w:eastAsia="zh-CN"/>
        </w:rPr>
        <w:t>八、供货范围</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8.1一般要求</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8.1.1本技术协议规定了合同设备的供货范围。乙方保证提供设备为全新的、先进的、成熟的、完整的和安全可靠的，且设备的技术经济性能符合本技术协议书的要求。</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8.1.2乙方提供详细供货清单，清单中依次说明型号、数量、产地、生产厂家等内容。对于属于整套设备运行和施工所必须的部件，即使本技术协议未列出或数目不足，乙方应在执行技术协议时补足。</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8.1.3 乙方提供所有安装所需的专用工具和消耗材料等,并提供详细供货清单。</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8.1.4</w:t>
      </w:r>
      <w:r>
        <w:rPr>
          <w:rFonts w:hint="eastAsia" w:ascii="宋体" w:hAnsi="宋体" w:eastAsia="宋体" w:cs="宋体"/>
          <w:lang w:val="en-US" w:eastAsia="zh-CN"/>
        </w:rPr>
        <w:tab/>
      </w:r>
      <w:r>
        <w:rPr>
          <w:rFonts w:hint="eastAsia" w:ascii="宋体" w:hAnsi="宋体" w:eastAsia="宋体" w:cs="宋体"/>
          <w:lang w:val="en-US" w:eastAsia="zh-CN"/>
        </w:rPr>
        <w:t>乙方提供随机备品备件。</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8.1.5 在本技术协议未明确的供货项目，但在技术要求中有要求的供货项目也由乙方供货。</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8.2供货范围</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8.2.1乙方确保供货范围完整，满足甲方对安装、调试、运行和设备性能的要求，并提供保证设备安装、调试、投运相关的技术服务和配合。在技术协议中涉及的供货要求也作为本供货范围的补充，若在安装、调试、运行中发现缺项，供方补充供货。</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8.2.2乙方提供的供货范围含设备安装其他附件如螺丝，电流连接片等。</w:t>
      </w:r>
      <w:bookmarkEnd w:id="360"/>
    </w:p>
    <w:p>
      <w:pPr>
        <w:adjustRightInd w:val="0"/>
        <w:snapToGrid w:val="0"/>
        <w:spacing w:line="360" w:lineRule="auto"/>
        <w:ind w:firstLine="422" w:firstLineChars="200"/>
        <w:outlineLvl w:val="0"/>
        <w:rPr>
          <w:rFonts w:hint="eastAsia" w:ascii="宋体" w:hAnsi="宋体" w:eastAsia="宋体" w:cs="宋体"/>
          <w:b/>
          <w:bCs/>
          <w:lang w:val="en-US" w:eastAsia="zh-CN"/>
        </w:rPr>
      </w:pPr>
      <w:bookmarkStart w:id="365" w:name="_Toc425259458"/>
      <w:r>
        <w:rPr>
          <w:rFonts w:hint="eastAsia" w:ascii="宋体" w:hAnsi="宋体" w:eastAsia="宋体" w:cs="宋体"/>
          <w:b/>
          <w:bCs/>
          <w:lang w:val="en-US" w:eastAsia="zh-CN"/>
        </w:rPr>
        <w:t>九、售后服务及培训</w:t>
      </w:r>
      <w:bookmarkEnd w:id="365"/>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9.1现场安装调试服务</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为保证所供设备的正确安装、调试和投运、安全运行和性能指标，以及相互的工作联系，乙方要派若干合格的技术人员到合同现场进行现场安装调试、运行等技术服务。乙方现场技术服务人员所发生的一切费用包括工资、差旅费、住宿、办公及通讯联络等包括在合同总价内。</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9.2售后服务</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乙方应提供优质售前售后服务，产品在甲方使用过程中，发现质量问题，在接到用户通知后2小时内做出答复，如需现场解决保证24小时内派出技术服务人员，做到故障不排除或做出结论意见前不撤离现场,甲方不因此支付服务费用。</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9.3现场培训</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为使合同设备能正常安装、调试、运行、维护及检修，乙方有责任对甲方人员提供相应的技术培训。培训的目的是培训甲方的安装及运行人员以便操作和维护合同内所有的设备。培训内容与工程进度相一致。设备的安装、调试、维护、操作培训人数不少于10人次。</w:t>
      </w:r>
    </w:p>
    <w:p>
      <w:pPr>
        <w:adjustRightInd w:val="0"/>
        <w:snapToGrid w:val="0"/>
        <w:spacing w:line="360" w:lineRule="auto"/>
        <w:ind w:left="560" w:firstLine="480"/>
        <w:rPr>
          <w:rFonts w:hint="eastAsia" w:ascii="宋体" w:hAnsi="宋体"/>
          <w:sz w:val="24"/>
        </w:rPr>
      </w:pPr>
      <w:r>
        <w:rPr>
          <w:rFonts w:hint="eastAsia" w:ascii="宋体" w:hAnsi="宋体" w:eastAsia="宋体" w:cs="宋体"/>
          <w:lang w:val="en-US" w:eastAsia="zh-CN"/>
        </w:rPr>
        <w:t>9.4超过质保期的产品，乙方有义务提供维修，并按甲方要求做好维修服务工作，服务费用由双方协商确定。</w:t>
      </w:r>
    </w:p>
    <w:p>
      <w:pPr>
        <w:adjustRightInd w:val="0"/>
        <w:snapToGrid w:val="0"/>
        <w:spacing w:line="360" w:lineRule="auto"/>
        <w:ind w:firstLine="422" w:firstLineChars="200"/>
        <w:outlineLvl w:val="0"/>
        <w:rPr>
          <w:rFonts w:hint="eastAsia" w:ascii="宋体" w:hAnsi="宋体" w:eastAsia="宋体" w:cs="宋体"/>
          <w:b/>
          <w:bCs/>
          <w:lang w:val="en-US" w:eastAsia="zh-CN"/>
        </w:rPr>
      </w:pPr>
      <w:r>
        <w:rPr>
          <w:rFonts w:hint="eastAsia" w:ascii="宋体" w:hAnsi="宋体" w:eastAsia="宋体" w:cs="宋体"/>
          <w:b/>
          <w:bCs/>
          <w:lang w:val="en-US" w:eastAsia="zh-CN"/>
        </w:rPr>
        <w:t>十、技术资料及交付进度</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10.1一般要求</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10.1.1乙方提交资料应及时充分，满足工程进度要求。完毕后，乙方提供完整的设备竣工图。</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10.1.2乙方提供的技术资料一般可分为投标阶段、施工调试试运、性能试验验收和运行维护等方面。乙方须满足以上具体要求。</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10.1.3乙方应按照中国电力工业使用的标准及相应的代码、规则对图纸编号，并且提供的资料应使用国家法定单位制即国际单位制（语言为中文）。</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10.1.4资料的组织结构清晰、逻辑性强。资料内容正确、准确、一致、清晰完整，满足工程要求。均需可编辑的电子版本。</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10.1.5完工后的产品应与最后确认的图纸一致。甲方对图纸的认可并不减轻乙方关于其图纸的正确性的责任。设备在现场安装时，如乙方技术人员进一步修改图纸，乙方应对图纸重新收编成册，正式递交甲方，并保证安装后的设备与图纸完全相符。</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10.1.6对于其他未列入合同技术资料清单，确是工程所必需的文件和资料，一经发现，乙方也将及时免费提供。</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10.1.7乙方提供的设备随机技术资料文本6套，电子版1份。</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10.2技术资料</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10.2.1乙方在投标阶段向甲方提供一般性资料如：</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提供的资料应包括，并随交货时提供。</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产品出厂检验报告、调试报告；</w:t>
      </w:r>
    </w:p>
    <w:p>
      <w:pPr>
        <w:adjustRightInd w:val="0"/>
        <w:snapToGrid w:val="0"/>
        <w:spacing w:line="360" w:lineRule="auto"/>
        <w:ind w:left="560" w:firstLine="480"/>
        <w:rPr>
          <w:rFonts w:hint="eastAsia" w:ascii="宋体" w:hAnsi="宋体" w:eastAsia="宋体" w:cs="宋体"/>
          <w:lang w:val="en-US" w:eastAsia="zh-CN"/>
        </w:rPr>
      </w:pPr>
      <w:r>
        <w:rPr>
          <w:rFonts w:hint="default" w:ascii="宋体" w:hAnsi="宋体" w:eastAsia="宋体" w:cs="宋体"/>
          <w:lang w:val="en-US" w:eastAsia="zh-CN"/>
        </w:rPr>
        <w:t>平面布置图</w:t>
      </w:r>
      <w:r>
        <w:rPr>
          <w:rFonts w:hint="eastAsia" w:ascii="宋体" w:hAnsi="宋体" w:eastAsia="宋体" w:cs="宋体"/>
          <w:lang w:val="en-US" w:eastAsia="zh-CN"/>
        </w:rPr>
        <w:t>、原理图、接线图、网络图；</w:t>
      </w:r>
    </w:p>
    <w:p>
      <w:pPr>
        <w:adjustRightInd w:val="0"/>
        <w:snapToGrid w:val="0"/>
        <w:spacing w:line="360" w:lineRule="auto"/>
        <w:ind w:left="560" w:firstLine="480"/>
        <w:rPr>
          <w:rFonts w:hint="eastAsia" w:ascii="宋体" w:hAnsi="宋体" w:eastAsia="宋体" w:cs="宋体"/>
          <w:lang w:val="en-US" w:eastAsia="zh-CN"/>
        </w:rPr>
      </w:pPr>
      <w:r>
        <w:rPr>
          <w:rFonts w:hint="eastAsia" w:ascii="宋体" w:hAnsi="宋体" w:eastAsia="宋体" w:cs="宋体"/>
          <w:lang w:val="en-US" w:eastAsia="zh-CN"/>
        </w:rPr>
        <w:t>设备使用说明书和技术说明书；</w:t>
      </w:r>
    </w:p>
    <w:p>
      <w:pPr>
        <w:adjustRightInd w:val="0"/>
        <w:snapToGrid w:val="0"/>
        <w:spacing w:line="360" w:lineRule="auto"/>
        <w:ind w:firstLine="422" w:firstLineChars="200"/>
        <w:outlineLvl w:val="0"/>
        <w:rPr>
          <w:rFonts w:hint="eastAsia" w:ascii="宋体" w:hAnsi="宋体" w:eastAsia="宋体" w:cs="宋体"/>
          <w:b/>
          <w:bCs/>
          <w:lang w:val="en-US" w:eastAsia="zh-CN"/>
        </w:rPr>
      </w:pPr>
      <w:r>
        <w:rPr>
          <w:rFonts w:hint="eastAsia" w:ascii="宋体" w:hAnsi="宋体" w:eastAsia="宋体" w:cs="宋体"/>
          <w:b/>
          <w:bCs/>
          <w:lang w:val="en-US" w:eastAsia="zh-CN"/>
        </w:rPr>
        <w:t>十一、本技术协议一式四份，甲方执二份，乙方执二份，具有同等法律效力。</w:t>
      </w:r>
    </w:p>
    <w:p>
      <w:pPr>
        <w:pStyle w:val="3"/>
        <w:spacing w:line="360" w:lineRule="auto"/>
        <w:ind w:firstLine="420" w:firstLineChars="200"/>
        <w:rPr>
          <w:rFonts w:hint="eastAsia" w:ascii="宋体" w:hAnsi="宋体" w:eastAsia="宋体" w:cs="宋体"/>
          <w:kern w:val="2"/>
          <w:sz w:val="21"/>
          <w:szCs w:val="22"/>
          <w:lang w:val="zh-CN" w:eastAsia="zh-CN" w:bidi="ar-SA"/>
        </w:rPr>
      </w:pPr>
      <w:r>
        <w:rPr>
          <w:rFonts w:hint="eastAsia" w:ascii="宋体" w:hAnsi="宋体" w:eastAsia="宋体" w:cs="宋体"/>
          <w:kern w:val="2"/>
          <w:sz w:val="21"/>
          <w:szCs w:val="22"/>
          <w:lang w:val="zh-CN" w:eastAsia="zh-CN" w:bidi="ar-SA"/>
        </w:rPr>
        <w:t>甲方：</w:t>
      </w:r>
      <w:r>
        <w:rPr>
          <w:rFonts w:hint="eastAsia" w:ascii="宋体" w:hAnsi="宋体" w:eastAsia="宋体" w:cs="宋体"/>
          <w:kern w:val="2"/>
          <w:sz w:val="21"/>
          <w:szCs w:val="22"/>
          <w:lang w:val="en-US" w:eastAsia="zh-CN" w:bidi="ar-SA"/>
        </w:rPr>
        <w:t>宁夏中宁发电有限责任公司</w:t>
      </w:r>
      <w:r>
        <w:rPr>
          <w:rFonts w:hint="eastAsia" w:ascii="宋体" w:hAnsi="宋体" w:eastAsia="宋体" w:cs="宋体"/>
          <w:kern w:val="2"/>
          <w:sz w:val="21"/>
          <w:szCs w:val="22"/>
          <w:lang w:val="zh-CN" w:eastAsia="zh-CN" w:bidi="ar-SA"/>
        </w:rPr>
        <w:t xml:space="preserve">  （合同专用章）</w:t>
      </w:r>
    </w:p>
    <w:p>
      <w:pPr>
        <w:pStyle w:val="3"/>
        <w:spacing w:line="360" w:lineRule="auto"/>
        <w:ind w:firstLine="420" w:firstLineChars="200"/>
        <w:rPr>
          <w:rFonts w:hint="default" w:ascii="宋体" w:hAnsi="宋体" w:eastAsia="宋体" w:cs="宋体"/>
          <w:kern w:val="2"/>
          <w:sz w:val="21"/>
          <w:szCs w:val="22"/>
          <w:lang w:val="en-US" w:eastAsia="zh-CN" w:bidi="ar-SA"/>
        </w:rPr>
      </w:pPr>
      <w:r>
        <w:rPr>
          <w:rFonts w:hint="eastAsia" w:ascii="宋体" w:hAnsi="宋体" w:eastAsia="宋体" w:cs="宋体"/>
          <w:kern w:val="2"/>
          <w:sz w:val="21"/>
          <w:szCs w:val="22"/>
          <w:lang w:val="zh-CN" w:eastAsia="zh-CN" w:bidi="ar-SA"/>
        </w:rPr>
        <w:t>地址：</w:t>
      </w:r>
      <w:r>
        <w:rPr>
          <w:rFonts w:hint="eastAsia" w:ascii="宋体" w:hAnsi="宋体" w:eastAsia="宋体" w:cs="宋体"/>
          <w:kern w:val="2"/>
          <w:sz w:val="21"/>
          <w:szCs w:val="22"/>
          <w:lang w:val="en-US" w:eastAsia="zh-CN" w:bidi="ar-SA"/>
        </w:rPr>
        <w:t>宁夏中宁县</w:t>
      </w:r>
    </w:p>
    <w:p>
      <w:pPr>
        <w:pStyle w:val="3"/>
        <w:spacing w:line="360" w:lineRule="auto"/>
        <w:ind w:firstLine="420" w:firstLineChars="200"/>
        <w:rPr>
          <w:rFonts w:hint="eastAsia" w:ascii="宋体" w:hAnsi="宋体" w:eastAsia="宋体" w:cs="宋体"/>
          <w:kern w:val="2"/>
          <w:sz w:val="21"/>
          <w:szCs w:val="22"/>
          <w:lang w:val="zh-CN" w:eastAsia="zh-CN" w:bidi="ar-SA"/>
        </w:rPr>
      </w:pPr>
      <w:r>
        <w:rPr>
          <w:rFonts w:hint="eastAsia" w:ascii="宋体" w:hAnsi="宋体" w:eastAsia="宋体" w:cs="宋体"/>
          <w:kern w:val="2"/>
          <w:sz w:val="21"/>
          <w:szCs w:val="22"/>
          <w:lang w:val="zh-CN" w:eastAsia="zh-CN" w:bidi="ar-SA"/>
        </w:rPr>
        <w:t>法定代表</w:t>
      </w:r>
    </w:p>
    <w:p>
      <w:pPr>
        <w:pStyle w:val="3"/>
        <w:spacing w:line="360" w:lineRule="auto"/>
        <w:ind w:firstLine="420" w:firstLineChars="200"/>
        <w:rPr>
          <w:rFonts w:hint="eastAsia" w:ascii="宋体" w:hAnsi="宋体" w:eastAsia="宋体" w:cs="宋体"/>
          <w:kern w:val="2"/>
          <w:sz w:val="21"/>
          <w:szCs w:val="22"/>
          <w:lang w:val="zh-CN" w:eastAsia="zh-CN" w:bidi="ar-SA"/>
        </w:rPr>
      </w:pPr>
      <w:r>
        <w:rPr>
          <w:rFonts w:hint="eastAsia" w:ascii="宋体" w:hAnsi="宋体" w:eastAsia="宋体" w:cs="宋体"/>
          <w:kern w:val="2"/>
          <w:sz w:val="21"/>
          <w:szCs w:val="22"/>
          <w:lang w:val="zh-CN" w:eastAsia="zh-CN" w:bidi="ar-SA"/>
        </w:rPr>
        <w:t xml:space="preserve">或委托代理人：                               </w:t>
      </w:r>
    </w:p>
    <w:p>
      <w:pPr>
        <w:pStyle w:val="3"/>
        <w:spacing w:line="360" w:lineRule="auto"/>
        <w:ind w:firstLine="420" w:firstLineChars="200"/>
        <w:rPr>
          <w:rFonts w:hint="eastAsia" w:ascii="宋体" w:hAnsi="宋体" w:eastAsia="宋体" w:cs="宋体"/>
          <w:kern w:val="2"/>
          <w:sz w:val="21"/>
          <w:szCs w:val="22"/>
          <w:lang w:val="zh-CN" w:eastAsia="zh-CN" w:bidi="ar-SA"/>
        </w:rPr>
      </w:pPr>
      <w:r>
        <w:rPr>
          <w:rFonts w:hint="eastAsia" w:ascii="宋体" w:hAnsi="宋体" w:eastAsia="宋体" w:cs="宋体"/>
          <w:kern w:val="2"/>
          <w:sz w:val="21"/>
          <w:szCs w:val="22"/>
          <w:lang w:val="zh-CN" w:eastAsia="zh-CN" w:bidi="ar-SA"/>
        </w:rPr>
        <w:t xml:space="preserve">电话：                                                                 </w:t>
      </w:r>
    </w:p>
    <w:p>
      <w:pPr>
        <w:pStyle w:val="3"/>
        <w:spacing w:line="360" w:lineRule="auto"/>
        <w:ind w:firstLine="420" w:firstLineChars="200"/>
        <w:rPr>
          <w:rFonts w:hint="eastAsia" w:ascii="宋体" w:hAnsi="宋体" w:eastAsia="宋体" w:cs="宋体"/>
          <w:kern w:val="2"/>
          <w:sz w:val="21"/>
          <w:szCs w:val="22"/>
          <w:lang w:val="zh-CN" w:eastAsia="zh-CN" w:bidi="ar-SA"/>
        </w:rPr>
      </w:pPr>
      <w:r>
        <w:rPr>
          <w:rFonts w:hint="eastAsia" w:ascii="宋体" w:hAnsi="宋体" w:eastAsia="宋体" w:cs="宋体"/>
          <w:kern w:val="2"/>
          <w:sz w:val="21"/>
          <w:szCs w:val="22"/>
          <w:lang w:val="zh-CN" w:eastAsia="zh-CN" w:bidi="ar-SA"/>
        </w:rPr>
        <w:t>乙方：</w:t>
      </w:r>
      <w:r>
        <w:rPr>
          <w:rFonts w:hint="eastAsia" w:ascii="宋体" w:hAnsi="宋体" w:eastAsia="宋体" w:cs="宋体"/>
          <w:kern w:val="2"/>
          <w:sz w:val="21"/>
          <w:szCs w:val="22"/>
          <w:lang w:val="zh-CN" w:eastAsia="zh-CN" w:bidi="ar-SA"/>
        </w:rPr>
        <w:tab/>
      </w:r>
      <w:r>
        <w:rPr>
          <w:rFonts w:hint="eastAsia" w:ascii="宋体" w:hAnsi="宋体" w:eastAsia="宋体" w:cs="宋体"/>
          <w:kern w:val="2"/>
          <w:sz w:val="21"/>
          <w:szCs w:val="22"/>
          <w:lang w:val="zh-CN" w:eastAsia="zh-CN" w:bidi="ar-SA"/>
        </w:rPr>
        <w:t>（合同专用章）</w:t>
      </w:r>
    </w:p>
    <w:p>
      <w:pPr>
        <w:pStyle w:val="3"/>
        <w:spacing w:line="360" w:lineRule="auto"/>
        <w:ind w:firstLine="420" w:firstLineChars="200"/>
        <w:rPr>
          <w:rFonts w:hint="eastAsia" w:ascii="宋体" w:hAnsi="宋体" w:eastAsia="宋体" w:cs="宋体"/>
          <w:kern w:val="2"/>
          <w:sz w:val="21"/>
          <w:szCs w:val="22"/>
          <w:lang w:val="zh-CN" w:eastAsia="zh-CN" w:bidi="ar-SA"/>
        </w:rPr>
      </w:pPr>
      <w:r>
        <w:rPr>
          <w:rFonts w:hint="eastAsia" w:ascii="宋体" w:hAnsi="宋体" w:eastAsia="宋体" w:cs="宋体"/>
          <w:kern w:val="2"/>
          <w:sz w:val="21"/>
          <w:szCs w:val="22"/>
          <w:lang w:val="zh-CN" w:eastAsia="zh-CN" w:bidi="ar-SA"/>
        </w:rPr>
        <w:t>地址：</w:t>
      </w:r>
    </w:p>
    <w:p>
      <w:pPr>
        <w:pStyle w:val="3"/>
        <w:spacing w:line="360" w:lineRule="auto"/>
        <w:ind w:firstLine="420" w:firstLineChars="200"/>
        <w:rPr>
          <w:rFonts w:hint="eastAsia" w:ascii="宋体" w:hAnsi="宋体" w:eastAsia="宋体" w:cs="宋体"/>
          <w:kern w:val="2"/>
          <w:sz w:val="21"/>
          <w:szCs w:val="22"/>
          <w:lang w:val="zh-CN" w:eastAsia="zh-CN" w:bidi="ar-SA"/>
        </w:rPr>
      </w:pPr>
      <w:r>
        <w:rPr>
          <w:rFonts w:hint="eastAsia" w:ascii="宋体" w:hAnsi="宋体" w:eastAsia="宋体" w:cs="宋体"/>
          <w:kern w:val="2"/>
          <w:sz w:val="21"/>
          <w:szCs w:val="22"/>
          <w:lang w:val="zh-CN" w:eastAsia="zh-CN" w:bidi="ar-SA"/>
        </w:rPr>
        <w:t>法定代表：</w:t>
      </w:r>
    </w:p>
    <w:p>
      <w:pPr>
        <w:pStyle w:val="3"/>
        <w:spacing w:line="360" w:lineRule="auto"/>
        <w:ind w:firstLine="420" w:firstLineChars="200"/>
        <w:rPr>
          <w:rFonts w:hint="eastAsia" w:ascii="宋体" w:hAnsi="宋体" w:eastAsia="宋体" w:cs="宋体"/>
          <w:kern w:val="2"/>
          <w:sz w:val="21"/>
          <w:szCs w:val="22"/>
          <w:lang w:val="zh-CN" w:eastAsia="zh-CN" w:bidi="ar-SA"/>
        </w:rPr>
      </w:pPr>
      <w:r>
        <w:rPr>
          <w:rFonts w:hint="eastAsia" w:ascii="宋体" w:hAnsi="宋体" w:eastAsia="宋体" w:cs="宋体"/>
          <w:kern w:val="2"/>
          <w:sz w:val="21"/>
          <w:szCs w:val="22"/>
          <w:lang w:val="zh-CN" w:eastAsia="zh-CN" w:bidi="ar-SA"/>
        </w:rPr>
        <w:t>或委托代表人：</w:t>
      </w:r>
    </w:p>
    <w:p>
      <w:pPr>
        <w:pStyle w:val="3"/>
        <w:spacing w:line="360" w:lineRule="auto"/>
        <w:ind w:firstLine="420" w:firstLineChars="200"/>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zh-CN" w:eastAsia="zh-CN" w:bidi="ar-SA"/>
        </w:rPr>
        <w:t>电话：</w:t>
      </w:r>
    </w:p>
    <w:p/>
    <w:sectPr>
      <w:footerReference r:id="rId9" w:type="default"/>
      <w:pgSz w:w="11907" w:h="16840"/>
      <w:pgMar w:top="1304" w:right="1134" w:bottom="1304" w:left="1247" w:header="567" w:footer="567"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E-F1">
    <w:altName w:val="Malgun Gothic"/>
    <w:panose1 w:val="00000000000000000000"/>
    <w:charset w:val="81"/>
    <w:family w:val="roman"/>
    <w:pitch w:val="default"/>
    <w:sig w:usb0="00000000" w:usb1="00000000" w:usb2="00000033" w:usb3="00000000" w:csb0="00080000" w:csb1="00000000"/>
  </w:font>
  <w:font w:name="Malgun Gothic">
    <w:panose1 w:val="020B0503020000020004"/>
    <w:charset w:val="81"/>
    <w:family w:val="auto"/>
    <w:pitch w:val="default"/>
    <w:sig w:usb0="900002AF" w:usb1="01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margin" w:hAnchor="text" w:xAlign="center" w:y="1"/>
      <w:rPr>
        <w:rStyle w:val="14"/>
      </w:rPr>
    </w:pPr>
    <w:r>
      <w:fldChar w:fldCharType="begin"/>
    </w:r>
    <w:r>
      <w:rPr>
        <w:rStyle w:val="14"/>
      </w:rPr>
      <w:instrText xml:space="preserve">PAGE  </w:instrText>
    </w:r>
    <w:r>
      <w:fldChar w:fldCharType="separate"/>
    </w:r>
    <w:r>
      <w:fldChar w:fldCharType="end"/>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10229215</wp:posOffset>
              </wp:positionV>
              <wp:extent cx="7560945" cy="273685"/>
              <wp:effectExtent l="0" t="0" r="0" b="0"/>
              <wp:wrapNone/>
              <wp:docPr id="2" name="文本框 2" descr="{&quot;HashCode&quot;:-42930880,&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3685"/>
                      </a:xfrm>
                      <a:prstGeom prst="rect">
                        <a:avLst/>
                      </a:prstGeom>
                      <a:noFill/>
                      <a:ln>
                        <a:noFill/>
                      </a:ln>
                    </wps:spPr>
                    <wps:txbx>
                      <w:txbxContent>
                        <w:p>
                          <w:pPr>
                            <w:jc w:val="center"/>
                            <w:rPr>
                              <w:rFonts w:cs="Calibri"/>
                              <w:color w:val="000000"/>
                              <w:sz w:val="12"/>
                            </w:rPr>
                          </w:pPr>
                        </w:p>
                      </w:txbxContent>
                    </wps:txbx>
                    <wps:bodyPr lIns="91440" tIns="0" rIns="91440" bIns="0" anchor="b" anchorCtr="0" upright="1"/>
                  </wps:wsp>
                </a:graphicData>
              </a:graphic>
            </wp:anchor>
          </w:drawing>
        </mc:Choice>
        <mc:Fallback>
          <w:pict>
            <v:shape id="_x0000_s1026" o:spid="_x0000_s1026" o:spt="202" alt="{&quot;HashCode&quot;:-42930880,&quot;Height&quot;:842.0,&quot;Width&quot;:595.0,&quot;Placement&quot;:&quot;Footer&quot;,&quot;Index&quot;:&quot;FirstPage&quot;,&quot;Section&quot;:1,&quot;Top&quot;:0.0,&quot;Left&quot;:0.0}" type="#_x0000_t202" style="position:absolute;left:0pt;margin-left:0pt;margin-top:805.45pt;height:21.55pt;width:595.35pt;mso-position-horizontal-relative:page;mso-position-vertical-relative:page;z-index:251659264;v-text-anchor:bottom;mso-width-relative:page;mso-height-relative:page;" filled="f" stroked="f" coordsize="21600,21600" o:allowincell="f" o:gfxdata="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BGpzVjY&#10;AAAACwEAAA8AAAAAAAAAAQAgAAAAIgAAAGRycy9kb3ducmV2LnhtbFBLAQIUABQAAAAIAIdO4kDo&#10;mSzVIAIAAC8EAAAOAAAAAAAAAAEAIAAAACcBAABkcnMvZTJvRG9jLnhtbFBLBQYAAAAABgAGAFkB&#10;AAC5BQAAAAA=&#10;">
              <v:fill on="f" focussize="0,0"/>
              <v:stroke on="f"/>
              <v:imagedata o:title=""/>
              <o:lock v:ext="edit" aspectratio="f"/>
              <v:textbox inset="2.54mm,0mm,2.54mm,0mm">
                <w:txbxContent>
                  <w:p>
                    <w:pPr>
                      <w:jc w:val="center"/>
                      <w:rPr>
                        <w:rFonts w:cs="Calibri"/>
                        <w:color w:val="000000"/>
                        <w:sz w:val="12"/>
                      </w:rPr>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xZ+TlrgEAAEsD&#10;AAAOAAAAAAAAAAEAIAAAAB4BAABkcnMvZTJvRG9jLnhtbFBLBQYAAAAABgAGAFkBAAA+BQ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E27F7E"/>
    <w:rsid w:val="26A8437A"/>
    <w:rsid w:val="39495149"/>
    <w:rsid w:val="39F0732A"/>
    <w:rsid w:val="3FE27F7E"/>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autoSpaceDE w:val="0"/>
      <w:autoSpaceDN w:val="0"/>
      <w:adjustRightInd w:val="0"/>
      <w:spacing w:before="240" w:beforeLines="0" w:after="60" w:afterLines="0"/>
      <w:jc w:val="left"/>
      <w:textAlignment w:val="baseline"/>
      <w:outlineLvl w:val="0"/>
    </w:pPr>
    <w:rPr>
      <w:rFonts w:ascii="Arial" w:hAnsi="Arial" w:eastAsia="宋体" w:cs="Times New Roman"/>
      <w:b/>
      <w:kern w:val="28"/>
      <w:sz w:val="28"/>
      <w:szCs w:val="20"/>
    </w:rPr>
  </w:style>
  <w:style w:type="character" w:default="1" w:styleId="7">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3">
    <w:name w:val="Plain Text"/>
    <w:basedOn w:val="1"/>
    <w:qFormat/>
    <w:uiPriority w:val="0"/>
    <w:rPr>
      <w:rFonts w:ascii="宋体"/>
      <w:szCs w:val="20"/>
    </w:rPr>
  </w:style>
  <w:style w:type="paragraph" w:styleId="4">
    <w:name w:val="footer"/>
    <w:basedOn w:val="1"/>
    <w:qFormat/>
    <w:uiPriority w:val="0"/>
    <w:pPr>
      <w:tabs>
        <w:tab w:val="center" w:pos="4153"/>
        <w:tab w:val="right" w:pos="8306"/>
      </w:tabs>
      <w:snapToGrid w:val="0"/>
      <w:jc w:val="left"/>
    </w:pPr>
    <w:rPr>
      <w:rFonts w:ascii="Calibri" w:hAnsi="Calibri" w:eastAsia="宋体" w:cs="Times New Roman"/>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rFonts w:ascii="Calibri" w:hAnsi="Calibri" w:eastAsia="宋体" w:cs="Times New Roman"/>
      <w:sz w:val="18"/>
      <w:szCs w:val="18"/>
    </w:rPr>
  </w:style>
  <w:style w:type="paragraph" w:styleId="6">
    <w:name w:val="toc 1"/>
    <w:basedOn w:val="1"/>
    <w:next w:val="1"/>
    <w:qFormat/>
    <w:uiPriority w:val="0"/>
  </w:style>
  <w:style w:type="paragraph" w:customStyle="1" w:styleId="9">
    <w:name w:val="Plain Text"/>
    <w:basedOn w:val="1"/>
    <w:qFormat/>
    <w:uiPriority w:val="0"/>
    <w:rPr>
      <w:rFonts w:ascii="宋体" w:hAnsi="Courier New" w:eastAsia="宋体"/>
    </w:rPr>
  </w:style>
  <w:style w:type="paragraph" w:customStyle="1" w:styleId="10">
    <w:name w:val="TOC Heading"/>
    <w:basedOn w:val="2"/>
    <w:next w:val="1"/>
    <w:qFormat/>
    <w:uiPriority w:val="0"/>
    <w:pPr>
      <w:keepLines/>
      <w:widowControl/>
      <w:autoSpaceDE/>
      <w:autoSpaceDN/>
      <w:adjustRightInd/>
      <w:spacing w:before="480" w:beforeLines="0" w:after="0" w:afterLines="0" w:line="276" w:lineRule="auto"/>
      <w:textAlignment w:val="auto"/>
      <w:outlineLvl w:val="9"/>
    </w:pPr>
    <w:rPr>
      <w:rFonts w:ascii="Cambria" w:hAnsi="Cambria" w:eastAsia="宋体"/>
      <w:bCs/>
      <w:color w:val="365F91"/>
      <w:kern w:val="0"/>
      <w:szCs w:val="28"/>
    </w:rPr>
  </w:style>
  <w:style w:type="paragraph" w:customStyle="1" w:styleId="11">
    <w:name w:val="_Style 1"/>
    <w:qFormat/>
    <w:uiPriority w:val="0"/>
    <w:pPr>
      <w:widowControl w:val="0"/>
      <w:autoSpaceDE w:val="0"/>
      <w:autoSpaceDN w:val="0"/>
      <w:adjustRightInd w:val="0"/>
      <w:spacing w:before="100" w:after="100"/>
    </w:pPr>
    <w:rPr>
      <w:rFonts w:ascii="Calibri" w:hAnsi="Calibri" w:eastAsia="宋体" w:cs="Times New Roman"/>
      <w:sz w:val="24"/>
      <w:lang w:val="en-US" w:eastAsia="zh-CN" w:bidi="ar-SA"/>
    </w:rPr>
  </w:style>
  <w:style w:type="paragraph" w:customStyle="1" w:styleId="12">
    <w:name w:val="B"/>
    <w:basedOn w:val="1"/>
    <w:qFormat/>
    <w:uiPriority w:val="0"/>
    <w:pPr>
      <w:tabs>
        <w:tab w:val="center" w:pos="4706"/>
        <w:tab w:val="right" w:pos="9044"/>
      </w:tabs>
      <w:topLinePunct/>
      <w:spacing w:before="160" w:after="60" w:line="312" w:lineRule="exact"/>
      <w:jc w:val="center"/>
    </w:pPr>
    <w:rPr>
      <w:rFonts w:ascii="E-F1" w:hAnsi="Times New Roman" w:eastAsia="黑体" w:cs="Times New Roman"/>
      <w:szCs w:val="21"/>
    </w:rPr>
  </w:style>
  <w:style w:type="paragraph" w:customStyle="1" w:styleId="13">
    <w:name w:val="表格内字体字号"/>
    <w:basedOn w:val="1"/>
    <w:qFormat/>
    <w:uiPriority w:val="0"/>
    <w:pPr>
      <w:topLinePunct/>
      <w:snapToGrid w:val="0"/>
      <w:spacing w:beforeLines="20" w:afterLines="20"/>
      <w:ind w:left="30" w:leftChars="30" w:right="30" w:rightChars="30"/>
      <w:jc w:val="center"/>
    </w:pPr>
    <w:rPr>
      <w:rFonts w:ascii="Times New Roman" w:hAnsi="Times New Roman" w:eastAsia="宋体" w:cs="Times New Roman"/>
      <w:sz w:val="18"/>
      <w:szCs w:val="18"/>
    </w:rPr>
  </w:style>
  <w:style w:type="character" w:customStyle="1" w:styleId="14">
    <w:name w:val="page number"/>
    <w:basedOn w:val="7"/>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2026-05-21T03:42:00Z</dcterms:created>
  <dc:creator>杨涛</dc:creator>
  <cp:lastModifiedBy>丁建涛</cp:lastModifiedBy>
  <dcterms:modified xsi:type="dcterms:W3CDTF">2026-06-02T00:09:30Z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y fmtid="{D5CDD505-2E9C-101B-9397-08002B2CF9AE}" pid="3" name="ICV">
    <vt:lpwstr>2313ADFCCA0446848C9559D46AF8134B_11</vt:lpwstr>
  </property>
  <property fmtid="{D5CDD505-2E9C-101B-9397-08002B2CF9AE}" pid="4" name="KSOTemplateDocerSaveRecord">
    <vt:lpwstr>eyJoZGlkIjoiZGVlYTM1NjY0ODY3NWM1NDhkODA0OTE3NWI0OWE0MjQiLCJ1c2VySWQiOiI3MjU0OTYwMzgifQ==</vt:lpwstr>
  </property>
</Properties>
</file>