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A74A1">
      <w:pPr>
        <w:spacing w:before="120" w:after="120" w:line="360" w:lineRule="auto"/>
        <w:jc w:val="center"/>
        <w:rPr>
          <w:rFonts w:hint="default" w:cs="宋体"/>
          <w:b/>
          <w:bCs/>
          <w:sz w:val="52"/>
          <w:szCs w:val="52"/>
          <w:lang w:val="en-US" w:eastAsia="zh-CN"/>
        </w:rPr>
      </w:pPr>
      <w:bookmarkStart w:id="0" w:name="_Toc10030155"/>
      <w:bookmarkStart w:id="1" w:name="_Toc10029792"/>
      <w:bookmarkStart w:id="2" w:name="_Toc10034536"/>
      <w:bookmarkStart w:id="3" w:name="_Toc29003"/>
      <w:bookmarkStart w:id="4" w:name="_Toc10030132"/>
      <w:bookmarkStart w:id="5" w:name="_Toc27868"/>
      <w:bookmarkStart w:id="6" w:name="_Toc9832"/>
      <w:bookmarkStart w:id="7" w:name="_Toc2915"/>
      <w:bookmarkStart w:id="8" w:name="_Toc10030178"/>
      <w:bookmarkStart w:id="9" w:name="_Toc10030201"/>
      <w:bookmarkStart w:id="10" w:name="_Toc22296"/>
      <w:bookmarkStart w:id="11" w:name="_Toc28309"/>
      <w:bookmarkStart w:id="93" w:name="_GoBack"/>
      <w:bookmarkEnd w:id="93"/>
      <w:r>
        <w:rPr>
          <w:rFonts w:hint="eastAsia" w:cs="宋体"/>
          <w:b/>
          <w:bCs/>
          <w:sz w:val="52"/>
          <w:szCs w:val="52"/>
          <w:lang w:val="en-US" w:eastAsia="zh-CN"/>
        </w:rPr>
        <w:t>宁夏中宁发电有限责任公司</w:t>
      </w:r>
    </w:p>
    <w:p w14:paraId="4D6D17B4">
      <w:pPr>
        <w:spacing w:before="120" w:after="120" w:line="360" w:lineRule="auto"/>
        <w:jc w:val="center"/>
        <w:rPr>
          <w:b/>
          <w:sz w:val="48"/>
          <w:szCs w:val="48"/>
        </w:rPr>
      </w:pPr>
      <w:r>
        <w:rPr>
          <w:rFonts w:hint="eastAsia"/>
          <w:b/>
          <w:sz w:val="48"/>
          <w:szCs w:val="48"/>
        </w:rPr>
        <w:t>除铁器</w:t>
      </w:r>
    </w:p>
    <w:p w14:paraId="664492A6">
      <w:pPr>
        <w:spacing w:line="360" w:lineRule="auto"/>
        <w:jc w:val="center"/>
        <w:rPr>
          <w:rFonts w:hint="eastAsia" w:eastAsia="宋体"/>
          <w:b/>
          <w:szCs w:val="28"/>
          <w:lang w:eastAsia="zh-CN"/>
        </w:rPr>
      </w:pPr>
      <w:r>
        <w:rPr>
          <w:rFonts w:hint="eastAsia"/>
          <w:b/>
          <w:sz w:val="48"/>
          <w:szCs w:val="48"/>
        </w:rPr>
        <w:t>技术</w:t>
      </w:r>
      <w:r>
        <w:rPr>
          <w:rFonts w:hint="eastAsia"/>
          <w:b/>
          <w:color w:val="000000"/>
          <w:sz w:val="48"/>
          <w:szCs w:val="48"/>
          <w:lang w:val="en-US" w:eastAsia="zh-CN"/>
        </w:rPr>
        <w:t>协议</w:t>
      </w:r>
    </w:p>
    <w:p w14:paraId="313B81F8">
      <w:pPr>
        <w:spacing w:line="360" w:lineRule="auto"/>
        <w:jc w:val="center"/>
        <w:rPr>
          <w:b/>
          <w:szCs w:val="28"/>
        </w:rPr>
      </w:pPr>
    </w:p>
    <w:p w14:paraId="196D3D93">
      <w:pPr>
        <w:spacing w:line="360" w:lineRule="auto"/>
        <w:jc w:val="center"/>
        <w:rPr>
          <w:b/>
          <w:szCs w:val="28"/>
        </w:rPr>
      </w:pPr>
    </w:p>
    <w:p w14:paraId="75F2FA9A">
      <w:pPr>
        <w:spacing w:line="360" w:lineRule="auto"/>
        <w:jc w:val="center"/>
        <w:rPr>
          <w:b/>
          <w:szCs w:val="28"/>
        </w:rPr>
      </w:pPr>
    </w:p>
    <w:p w14:paraId="20DC6237">
      <w:pPr>
        <w:spacing w:line="360" w:lineRule="auto"/>
        <w:jc w:val="center"/>
        <w:rPr>
          <w:b/>
          <w:szCs w:val="28"/>
        </w:rPr>
      </w:pPr>
    </w:p>
    <w:p w14:paraId="4FA9A2C4">
      <w:pPr>
        <w:spacing w:line="360" w:lineRule="auto"/>
        <w:jc w:val="center"/>
        <w:rPr>
          <w:b/>
          <w:szCs w:val="28"/>
        </w:rPr>
      </w:pPr>
    </w:p>
    <w:p w14:paraId="526EF579">
      <w:pPr>
        <w:spacing w:line="360" w:lineRule="auto"/>
        <w:jc w:val="center"/>
        <w:rPr>
          <w:b/>
          <w:szCs w:val="28"/>
        </w:rPr>
      </w:pPr>
    </w:p>
    <w:p w14:paraId="559E8C07">
      <w:pPr>
        <w:spacing w:line="360" w:lineRule="auto"/>
        <w:jc w:val="center"/>
        <w:rPr>
          <w:b/>
          <w:szCs w:val="28"/>
        </w:rPr>
      </w:pPr>
    </w:p>
    <w:p w14:paraId="7BBC3528">
      <w:pPr>
        <w:spacing w:line="360" w:lineRule="auto"/>
        <w:jc w:val="center"/>
        <w:rPr>
          <w:b/>
          <w:szCs w:val="28"/>
        </w:rPr>
      </w:pPr>
    </w:p>
    <w:p w14:paraId="183B32F7">
      <w:pPr>
        <w:spacing w:line="360" w:lineRule="auto"/>
        <w:jc w:val="center"/>
        <w:rPr>
          <w:b/>
          <w:szCs w:val="28"/>
        </w:rPr>
      </w:pPr>
    </w:p>
    <w:p w14:paraId="0481AE8A">
      <w:pPr>
        <w:spacing w:line="360" w:lineRule="auto"/>
        <w:jc w:val="center"/>
        <w:rPr>
          <w:b/>
          <w:szCs w:val="28"/>
        </w:rPr>
      </w:pPr>
    </w:p>
    <w:p w14:paraId="3B71BE54">
      <w:pPr>
        <w:spacing w:line="360" w:lineRule="auto"/>
        <w:jc w:val="center"/>
        <w:rPr>
          <w:b/>
          <w:szCs w:val="28"/>
        </w:rPr>
      </w:pPr>
    </w:p>
    <w:p w14:paraId="489207E7">
      <w:pPr>
        <w:spacing w:line="360" w:lineRule="auto"/>
        <w:jc w:val="center"/>
        <w:rPr>
          <w:b/>
          <w:szCs w:val="28"/>
        </w:rPr>
      </w:pPr>
    </w:p>
    <w:p w14:paraId="6429F90B">
      <w:pPr>
        <w:spacing w:line="360" w:lineRule="auto"/>
        <w:jc w:val="center"/>
        <w:rPr>
          <w:b/>
          <w:szCs w:val="28"/>
        </w:rPr>
      </w:pPr>
    </w:p>
    <w:p w14:paraId="2FFCB200">
      <w:pPr>
        <w:spacing w:line="360" w:lineRule="auto"/>
        <w:jc w:val="center"/>
        <w:rPr>
          <w:b/>
          <w:szCs w:val="28"/>
        </w:rPr>
      </w:pPr>
    </w:p>
    <w:p w14:paraId="6162672B">
      <w:pPr>
        <w:spacing w:line="360" w:lineRule="auto"/>
        <w:jc w:val="center"/>
        <w:rPr>
          <w:b/>
          <w:sz w:val="32"/>
          <w:szCs w:val="32"/>
        </w:rPr>
      </w:pPr>
      <w:r>
        <w:rPr>
          <w:b/>
          <w:sz w:val="30"/>
          <w:szCs w:val="30"/>
        </w:rPr>
        <w:t>二</w:t>
      </w:r>
      <w:r>
        <w:rPr>
          <w:rFonts w:hint="eastAsia"/>
          <w:b/>
          <w:sz w:val="30"/>
          <w:szCs w:val="30"/>
        </w:rPr>
        <w:t>O二</w:t>
      </w:r>
      <w:r>
        <w:rPr>
          <w:rFonts w:hint="eastAsia"/>
          <w:b/>
          <w:sz w:val="30"/>
          <w:szCs w:val="30"/>
          <w:lang w:val="en-US" w:eastAsia="zh-CN"/>
        </w:rPr>
        <w:t>五</w:t>
      </w:r>
      <w:r>
        <w:rPr>
          <w:b/>
          <w:sz w:val="30"/>
          <w:szCs w:val="30"/>
        </w:rPr>
        <w:t>年</w:t>
      </w:r>
      <w:r>
        <w:rPr>
          <w:rFonts w:hint="eastAsia"/>
          <w:b/>
          <w:sz w:val="30"/>
          <w:szCs w:val="30"/>
          <w:lang w:val="en-US" w:eastAsia="zh-CN"/>
        </w:rPr>
        <w:t>九</w:t>
      </w:r>
      <w:r>
        <w:rPr>
          <w:b/>
          <w:sz w:val="30"/>
          <w:szCs w:val="30"/>
        </w:rPr>
        <w:t>月</w:t>
      </w:r>
      <w:r>
        <w:rPr>
          <w:rFonts w:hint="eastAsia"/>
          <w:b/>
          <w:sz w:val="30"/>
          <w:szCs w:val="30"/>
        </w:rPr>
        <w:t xml:space="preserve">  </w:t>
      </w:r>
    </w:p>
    <w:p w14:paraId="551C74AE">
      <w:pPr>
        <w:pStyle w:val="15"/>
        <w:spacing w:line="360" w:lineRule="auto"/>
        <w:jc w:val="center"/>
        <w:rPr>
          <w:rFonts w:hAnsi="Times New Roman" w:cs="宋体"/>
          <w:bCs/>
          <w:kern w:val="0"/>
          <w:sz w:val="36"/>
          <w:szCs w:val="36"/>
        </w:rPr>
      </w:pPr>
    </w:p>
    <w:p w14:paraId="424261F2">
      <w:pPr>
        <w:pStyle w:val="15"/>
        <w:spacing w:line="360" w:lineRule="auto"/>
        <w:jc w:val="center"/>
        <w:rPr>
          <w:rFonts w:hint="eastAsia" w:hAnsi="Times New Roman" w:cs="宋体"/>
          <w:bCs/>
          <w:kern w:val="0"/>
          <w:sz w:val="36"/>
          <w:szCs w:val="36"/>
          <w:lang w:val="zh-CN"/>
        </w:rPr>
      </w:pPr>
    </w:p>
    <w:p w14:paraId="2A9DF1A3">
      <w:pPr>
        <w:pStyle w:val="15"/>
        <w:spacing w:line="360" w:lineRule="auto"/>
        <w:jc w:val="center"/>
        <w:rPr>
          <w:rFonts w:hint="eastAsia" w:hAnsi="Times New Roman" w:cs="宋体"/>
          <w:bCs/>
          <w:kern w:val="0"/>
          <w:sz w:val="36"/>
          <w:szCs w:val="36"/>
          <w:lang w:val="zh-CN"/>
        </w:rPr>
      </w:pPr>
    </w:p>
    <w:p w14:paraId="7AECDC25">
      <w:pPr>
        <w:pStyle w:val="23"/>
        <w:jc w:val="center"/>
        <w:rPr>
          <w:rFonts w:ascii="微软雅黑" w:hAnsi="微软雅黑" w:eastAsia="微软雅黑" w:cs="微软雅黑"/>
          <w:color w:val="auto"/>
          <w:sz w:val="48"/>
          <w:szCs w:val="48"/>
          <w:highlight w:val="none"/>
        </w:rPr>
      </w:pPr>
      <w:r>
        <w:rPr>
          <w:rFonts w:hint="eastAsia" w:ascii="微软雅黑" w:hAnsi="微软雅黑" w:eastAsia="微软雅黑" w:cs="微软雅黑"/>
          <w:color w:val="auto"/>
          <w:sz w:val="48"/>
          <w:szCs w:val="48"/>
          <w:highlight w:val="none"/>
        </w:rPr>
        <w:t>技术条款</w:t>
      </w:r>
      <w:bookmarkEnd w:id="0"/>
      <w:bookmarkEnd w:id="1"/>
      <w:bookmarkEnd w:id="2"/>
      <w:bookmarkEnd w:id="3"/>
      <w:bookmarkEnd w:id="4"/>
      <w:bookmarkEnd w:id="5"/>
      <w:bookmarkEnd w:id="6"/>
      <w:bookmarkEnd w:id="7"/>
      <w:bookmarkEnd w:id="8"/>
      <w:bookmarkEnd w:id="9"/>
      <w:bookmarkEnd w:id="10"/>
      <w:bookmarkEnd w:id="11"/>
    </w:p>
    <w:p w14:paraId="1E691F46">
      <w:pPr>
        <w:pStyle w:val="2"/>
        <w:rPr>
          <w:rFonts w:hint="eastAsia" w:ascii="微软雅黑" w:hAnsi="微软雅黑" w:eastAsia="微软雅黑" w:cs="微软雅黑"/>
          <w:lang w:val="en-US" w:eastAsia="zh-CN"/>
        </w:rPr>
      </w:pPr>
    </w:p>
    <w:p w14:paraId="52DA0D7F">
      <w:pPr>
        <w:spacing w:line="400" w:lineRule="exact"/>
        <w:jc w:val="center"/>
        <w:rPr>
          <w:rFonts w:hint="eastAsia" w:ascii="微软雅黑" w:hAnsi="微软雅黑" w:eastAsia="微软雅黑" w:cs="微软雅黑"/>
          <w:b/>
          <w:sz w:val="32"/>
          <w:szCs w:val="32"/>
        </w:rPr>
      </w:pPr>
      <w:r>
        <w:rPr>
          <w:rFonts w:hint="eastAsia" w:ascii="微软雅黑" w:hAnsi="微软雅黑" w:eastAsia="微软雅黑" w:cs="微软雅黑"/>
          <w:b/>
          <w:sz w:val="32"/>
          <w:szCs w:val="32"/>
        </w:rPr>
        <w:t>宁夏中宁发电有限责任公司电磁除铁器技术规范书</w:t>
      </w:r>
    </w:p>
    <w:p w14:paraId="4F4C6B0F">
      <w:pPr>
        <w:spacing w:line="440" w:lineRule="exact"/>
        <w:rPr>
          <w:rFonts w:hint="eastAsia" w:ascii="微软雅黑" w:hAnsi="微软雅黑" w:eastAsia="微软雅黑" w:cs="微软雅黑"/>
          <w:bCs/>
          <w:sz w:val="24"/>
        </w:rPr>
      </w:pPr>
    </w:p>
    <w:p w14:paraId="00331C4B">
      <w:pPr>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rPr>
        <w:t>一、项目概况</w:t>
      </w:r>
    </w:p>
    <w:p w14:paraId="0BCEC39F">
      <w:pPr>
        <w:spacing w:line="480" w:lineRule="exact"/>
        <w:ind w:left="1200" w:hanging="1200" w:hangingChars="500"/>
        <w:rPr>
          <w:rFonts w:hint="eastAsia" w:ascii="微软雅黑" w:hAnsi="微软雅黑" w:eastAsia="微软雅黑" w:cs="微软雅黑"/>
          <w:bCs/>
          <w:sz w:val="24"/>
          <w:lang w:eastAsia="zh-CN"/>
        </w:rPr>
      </w:pPr>
      <w:r>
        <w:rPr>
          <w:rFonts w:hint="eastAsia" w:ascii="微软雅黑" w:hAnsi="微软雅黑" w:eastAsia="微软雅黑" w:cs="微软雅黑"/>
          <w:bCs/>
          <w:sz w:val="24"/>
        </w:rPr>
        <w:t>项目名称：</w:t>
      </w:r>
      <w:r>
        <w:rPr>
          <w:rFonts w:hint="eastAsia" w:ascii="微软雅黑" w:hAnsi="微软雅黑" w:eastAsia="微软雅黑" w:cs="微软雅黑"/>
          <w:bCs/>
          <w:sz w:val="24"/>
          <w:lang w:eastAsia="zh-CN"/>
        </w:rPr>
        <w:t xml:space="preserve"> 宁夏中宁发电有限责任公司电磁除铁器</w:t>
      </w:r>
      <w:r>
        <w:rPr>
          <w:rFonts w:hint="eastAsia" w:ascii="微软雅黑" w:hAnsi="微软雅黑" w:eastAsia="微软雅黑" w:cs="微软雅黑"/>
          <w:bCs/>
          <w:sz w:val="24"/>
          <w:lang w:val="en-US" w:eastAsia="zh-CN"/>
        </w:rPr>
        <w:t>技改</w:t>
      </w:r>
      <w:r>
        <w:rPr>
          <w:rFonts w:hint="eastAsia" w:ascii="微软雅黑" w:hAnsi="微软雅黑" w:eastAsia="微软雅黑" w:cs="微软雅黑"/>
          <w:bCs/>
          <w:sz w:val="24"/>
        </w:rPr>
        <w:t>项目</w:t>
      </w:r>
    </w:p>
    <w:p w14:paraId="2DA9282A">
      <w:pPr>
        <w:spacing w:line="480" w:lineRule="exact"/>
        <w:rPr>
          <w:rFonts w:hint="eastAsia" w:ascii="微软雅黑" w:hAnsi="微软雅黑" w:eastAsia="微软雅黑" w:cs="微软雅黑"/>
          <w:bCs/>
          <w:sz w:val="24"/>
        </w:rPr>
      </w:pPr>
      <w:r>
        <w:rPr>
          <w:rFonts w:hint="eastAsia" w:ascii="微软雅黑" w:hAnsi="微软雅黑" w:eastAsia="微软雅黑" w:cs="微软雅黑"/>
          <w:bCs/>
          <w:sz w:val="24"/>
        </w:rPr>
        <w:t>项目地点：</w:t>
      </w:r>
      <w:r>
        <w:rPr>
          <w:rFonts w:hint="eastAsia" w:ascii="微软雅黑" w:hAnsi="微软雅黑" w:eastAsia="微软雅黑" w:cs="微软雅黑"/>
          <w:bCs/>
          <w:sz w:val="24"/>
          <w:lang w:eastAsia="zh-CN"/>
        </w:rPr>
        <w:t xml:space="preserve"> 宁夏中宁发电有限责任公司</w:t>
      </w:r>
    </w:p>
    <w:p w14:paraId="59C38BA9">
      <w:pPr>
        <w:numPr>
          <w:ilvl w:val="0"/>
          <w:numId w:val="0"/>
        </w:numPr>
        <w:tabs>
          <w:tab w:val="left" w:pos="560"/>
        </w:tabs>
        <w:snapToGrid/>
        <w:spacing w:beforeAutospacing="0" w:afterAutospacing="0" w:line="560" w:lineRule="exact"/>
        <w:ind w:right="0" w:rightChars="0" w:firstLine="480" w:firstLineChars="200"/>
        <w:jc w:val="left"/>
        <w:rPr>
          <w:rFonts w:hint="eastAsia" w:ascii="微软雅黑" w:hAnsi="微软雅黑" w:eastAsia="微软雅黑" w:cs="微软雅黑"/>
          <w:bCs/>
          <w:sz w:val="24"/>
          <w:highlight w:val="none"/>
          <w:lang w:val="en-US"/>
        </w:rPr>
      </w:pPr>
      <w:r>
        <w:rPr>
          <w:rFonts w:hint="eastAsia" w:ascii="微软雅黑" w:hAnsi="微软雅黑" w:eastAsia="微软雅黑" w:cs="微软雅黑"/>
          <w:sz w:val="24"/>
        </w:rPr>
        <w:t>项目内容：</w:t>
      </w:r>
      <w:r>
        <w:rPr>
          <w:rFonts w:hint="eastAsia" w:ascii="微软雅黑" w:hAnsi="微软雅黑" w:eastAsia="微软雅黑" w:cs="微软雅黑"/>
          <w:sz w:val="24"/>
          <w:highlight w:val="none"/>
        </w:rPr>
        <w:t xml:space="preserve"> </w:t>
      </w:r>
      <w:r>
        <w:rPr>
          <w:rFonts w:hint="eastAsia" w:ascii="微软雅黑" w:hAnsi="微软雅黑" w:eastAsia="微软雅黑" w:cs="微软雅黑"/>
          <w:bCs/>
          <w:sz w:val="24"/>
          <w:lang w:val="en-US" w:eastAsia="zh-CN"/>
        </w:rPr>
        <w:t>输煤#5皮带甲、乙除铁器整套设备进行更换，包括安装及拆除工作。所提供的备件包括：2台电磁除铁器、1台控制柜、2台电动小车、2套适配吊具、2套适配电缆，并且厂家需同时提供现场安装所需的其他备件，不局限于上述所列。输煤#5皮带甲乙除铁器的制造与安装需符合国家标准要求。应严格按照宁夏中宁发电有限责任公司输煤#5皮带甲乙除铁器改造技术方案执行。输煤#5皮带甲、乙除铁器更换工作完成且调试正常后，需依据技术方案在空载和负载状态下进行验收，验收结果应达到合格标准。</w:t>
      </w:r>
      <w:r>
        <w:rPr>
          <w:rFonts w:hint="eastAsia" w:ascii="仿宋" w:eastAsia="仿宋"/>
          <w:sz w:val="24"/>
          <w:szCs w:val="24"/>
          <w:lang w:val="en-US" w:eastAsia="zh-CN"/>
        </w:rPr>
        <w:t xml:space="preserve"> </w:t>
      </w:r>
    </w:p>
    <w:p w14:paraId="3B39E6AC">
      <w:pPr>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rPr>
        <w:t>二、工期</w:t>
      </w:r>
    </w:p>
    <w:p w14:paraId="1A29B742">
      <w:pPr>
        <w:spacing w:line="480" w:lineRule="exact"/>
        <w:ind w:firstLine="480" w:firstLineChars="200"/>
        <w:rPr>
          <w:rFonts w:hint="eastAsia" w:ascii="微软雅黑" w:hAnsi="微软雅黑" w:eastAsia="微软雅黑" w:cs="微软雅黑"/>
          <w:bCs/>
          <w:sz w:val="24"/>
          <w:highlight w:val="none"/>
        </w:rPr>
      </w:pPr>
      <w:r>
        <w:rPr>
          <w:rFonts w:hint="eastAsia" w:ascii="微软雅黑" w:hAnsi="微软雅黑" w:eastAsia="微软雅黑" w:cs="微软雅黑"/>
          <w:bCs/>
          <w:sz w:val="24"/>
        </w:rPr>
        <w:t>2.1发货日期：</w:t>
      </w:r>
      <w:r>
        <w:rPr>
          <w:rFonts w:hint="eastAsia" w:ascii="微软雅黑" w:hAnsi="微软雅黑" w:eastAsia="微软雅黑" w:cs="微软雅黑"/>
          <w:bCs/>
          <w:sz w:val="24"/>
          <w:highlight w:val="none"/>
        </w:rPr>
        <w:t>合同签署之日起</w:t>
      </w:r>
      <w:r>
        <w:rPr>
          <w:rFonts w:hint="eastAsia" w:ascii="微软雅黑" w:hAnsi="微软雅黑" w:eastAsia="微软雅黑" w:cs="微软雅黑"/>
          <w:bCs/>
          <w:sz w:val="24"/>
          <w:highlight w:val="none"/>
          <w:lang w:val="en-US" w:eastAsia="zh-CN"/>
        </w:rPr>
        <w:t>30</w:t>
      </w:r>
      <w:r>
        <w:rPr>
          <w:rFonts w:hint="eastAsia" w:ascii="微软雅黑" w:hAnsi="微软雅黑" w:eastAsia="微软雅黑" w:cs="微软雅黑"/>
          <w:bCs/>
          <w:sz w:val="24"/>
          <w:highlight w:val="none"/>
        </w:rPr>
        <w:t>日内到货</w:t>
      </w:r>
    </w:p>
    <w:p w14:paraId="4F214D00">
      <w:pPr>
        <w:spacing w:line="480" w:lineRule="exact"/>
        <w:ind w:firstLine="480" w:firstLineChars="200"/>
        <w:rPr>
          <w:rFonts w:hint="eastAsia" w:ascii="微软雅黑" w:hAnsi="微软雅黑" w:eastAsia="微软雅黑" w:cs="微软雅黑"/>
          <w:bCs/>
          <w:sz w:val="24"/>
        </w:rPr>
      </w:pPr>
      <w:r>
        <w:rPr>
          <w:rFonts w:hint="eastAsia" w:ascii="微软雅黑" w:hAnsi="微软雅黑" w:eastAsia="微软雅黑" w:cs="微软雅黑"/>
          <w:bCs/>
          <w:sz w:val="24"/>
        </w:rPr>
        <w:t>2.2工期顺延：如发生以下情况造成发货日期推迟，</w:t>
      </w:r>
      <w:r>
        <w:rPr>
          <w:rFonts w:hint="eastAsia" w:ascii="微软雅黑" w:hAnsi="微软雅黑" w:eastAsia="微软雅黑" w:cs="微软雅黑"/>
          <w:bCs/>
          <w:sz w:val="24"/>
          <w:lang w:eastAsia="zh-CN"/>
        </w:rPr>
        <w:t>投标方</w:t>
      </w:r>
      <w:r>
        <w:rPr>
          <w:rFonts w:hint="eastAsia" w:ascii="微软雅黑" w:hAnsi="微软雅黑" w:eastAsia="微软雅黑" w:cs="微软雅黑"/>
          <w:bCs/>
          <w:sz w:val="24"/>
        </w:rPr>
        <w:t>须及时以书面报告形式将实际情况上报</w:t>
      </w:r>
      <w:r>
        <w:rPr>
          <w:rFonts w:hint="eastAsia" w:ascii="微软雅黑" w:hAnsi="微软雅黑" w:eastAsia="微软雅黑" w:cs="微软雅黑"/>
          <w:bCs/>
          <w:sz w:val="24"/>
          <w:lang w:eastAsia="zh-CN"/>
        </w:rPr>
        <w:t>招标方</w:t>
      </w:r>
      <w:r>
        <w:rPr>
          <w:rFonts w:hint="eastAsia" w:ascii="微软雅黑" w:hAnsi="微软雅黑" w:eastAsia="微软雅黑" w:cs="微软雅黑"/>
          <w:bCs/>
          <w:sz w:val="24"/>
        </w:rPr>
        <w:t>，经</w:t>
      </w:r>
      <w:r>
        <w:rPr>
          <w:rFonts w:hint="eastAsia" w:ascii="微软雅黑" w:hAnsi="微软雅黑" w:eastAsia="微软雅黑" w:cs="微软雅黑"/>
          <w:bCs/>
          <w:sz w:val="24"/>
          <w:lang w:eastAsia="zh-CN"/>
        </w:rPr>
        <w:t>招标方</w:t>
      </w:r>
      <w:r>
        <w:rPr>
          <w:rFonts w:hint="eastAsia" w:ascii="微软雅黑" w:hAnsi="微软雅黑" w:eastAsia="微软雅黑" w:cs="微软雅黑"/>
          <w:bCs/>
          <w:sz w:val="24"/>
        </w:rPr>
        <w:t>书面盖章确认后，工期相应顺延，（除以下原因外，工期一律不予顺延）：</w:t>
      </w:r>
    </w:p>
    <w:p w14:paraId="0A7940BD">
      <w:pPr>
        <w:spacing w:line="480" w:lineRule="exact"/>
        <w:ind w:firstLine="480" w:firstLineChars="200"/>
        <w:rPr>
          <w:rFonts w:hint="eastAsia" w:ascii="微软雅黑" w:hAnsi="微软雅黑" w:eastAsia="微软雅黑" w:cs="微软雅黑"/>
          <w:bCs/>
          <w:sz w:val="24"/>
        </w:rPr>
      </w:pPr>
      <w:r>
        <w:rPr>
          <w:rFonts w:hint="eastAsia" w:ascii="微软雅黑" w:hAnsi="微软雅黑" w:eastAsia="微软雅黑" w:cs="微软雅黑"/>
          <w:bCs/>
          <w:sz w:val="24"/>
        </w:rPr>
        <w:t>(1) 重大设计变更影响</w:t>
      </w:r>
      <w:r>
        <w:rPr>
          <w:rFonts w:hint="eastAsia" w:ascii="微软雅黑" w:hAnsi="微软雅黑" w:eastAsia="微软雅黑" w:cs="微软雅黑"/>
          <w:bCs/>
          <w:sz w:val="24"/>
          <w:lang w:eastAsia="zh-CN"/>
        </w:rPr>
        <w:t>投标方</w:t>
      </w:r>
      <w:r>
        <w:rPr>
          <w:rFonts w:hint="eastAsia" w:ascii="微软雅黑" w:hAnsi="微软雅黑" w:eastAsia="微软雅黑" w:cs="微软雅黑"/>
          <w:bCs/>
          <w:sz w:val="24"/>
        </w:rPr>
        <w:t>连续施工的；</w:t>
      </w:r>
    </w:p>
    <w:p w14:paraId="588D9596">
      <w:pPr>
        <w:spacing w:line="480" w:lineRule="exact"/>
        <w:ind w:firstLine="480" w:firstLineChars="200"/>
        <w:rPr>
          <w:rFonts w:hint="eastAsia" w:ascii="微软雅黑" w:hAnsi="微软雅黑" w:eastAsia="微软雅黑" w:cs="微软雅黑"/>
          <w:bCs/>
          <w:sz w:val="24"/>
        </w:rPr>
      </w:pPr>
      <w:r>
        <w:rPr>
          <w:rFonts w:hint="eastAsia" w:ascii="微软雅黑" w:hAnsi="微软雅黑" w:eastAsia="微软雅黑" w:cs="微软雅黑"/>
          <w:bCs/>
          <w:sz w:val="24"/>
        </w:rPr>
        <w:t>(2) 不可抗力因素(指在施工周期中发生战争、动乱、空中飞行物体坠落或12级以上的大风、7级以上的地震、持续20天每天达到200毫米的降水等事件)影响施工的。</w:t>
      </w:r>
    </w:p>
    <w:p w14:paraId="6A63D923">
      <w:pPr>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rPr>
        <w:t>三、技术规范</w:t>
      </w:r>
    </w:p>
    <w:p w14:paraId="69196D95">
      <w:pPr>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rPr>
        <w:t>3.1 总</w:t>
      </w:r>
      <w:r>
        <w:rPr>
          <w:rFonts w:hint="eastAsia" w:ascii="微软雅黑" w:hAnsi="微软雅黑" w:eastAsia="微软雅黑" w:cs="微软雅黑"/>
          <w:b/>
          <w:sz w:val="24"/>
          <w:lang w:val="en-US" w:eastAsia="zh-CN"/>
        </w:rPr>
        <w:t>则</w:t>
      </w:r>
      <w:r>
        <w:rPr>
          <w:rFonts w:hint="eastAsia" w:ascii="微软雅黑" w:hAnsi="微软雅黑" w:eastAsia="微软雅黑" w:cs="微软雅黑"/>
          <w:b/>
          <w:sz w:val="24"/>
        </w:rPr>
        <w:t>要求</w:t>
      </w:r>
    </w:p>
    <w:p w14:paraId="4672BDB3">
      <w:pPr>
        <w:tabs>
          <w:tab w:val="right" w:leader="middleDot" w:pos="8505"/>
        </w:tabs>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3.1.1本技术协议适用于</w:t>
      </w:r>
      <w:r>
        <w:rPr>
          <w:rFonts w:hint="eastAsia" w:ascii="微软雅黑" w:hAnsi="微软雅黑" w:eastAsia="微软雅黑" w:cs="微软雅黑"/>
          <w:bCs/>
          <w:sz w:val="24"/>
        </w:rPr>
        <w:t>宁夏中宁发电有限责任公司除铁器</w:t>
      </w:r>
      <w:r>
        <w:rPr>
          <w:rFonts w:hint="eastAsia" w:ascii="微软雅黑" w:hAnsi="微软雅黑" w:eastAsia="微软雅黑" w:cs="微软雅黑"/>
          <w:bCs/>
          <w:sz w:val="24"/>
          <w:lang w:val="en-US" w:eastAsia="zh-CN"/>
        </w:rPr>
        <w:t>设备</w:t>
      </w:r>
      <w:r>
        <w:rPr>
          <w:rFonts w:hint="eastAsia" w:ascii="微软雅黑" w:hAnsi="微软雅黑" w:eastAsia="微软雅黑" w:cs="微软雅黑"/>
          <w:sz w:val="24"/>
        </w:rPr>
        <w:t>，它提出了该设备的功能设计、性能、安装等方面的技术要求</w:t>
      </w:r>
      <w:r>
        <w:rPr>
          <w:rFonts w:hint="eastAsia" w:ascii="微软雅黑" w:hAnsi="微软雅黑" w:eastAsia="微软雅黑" w:cs="微软雅黑"/>
          <w:sz w:val="24"/>
          <w:lang w:eastAsia="zh-CN"/>
        </w:rPr>
        <w:t>，</w:t>
      </w:r>
      <w:r>
        <w:rPr>
          <w:rFonts w:hint="eastAsia" w:ascii="微软雅黑" w:hAnsi="微软雅黑" w:eastAsia="微软雅黑" w:cs="微软雅黑"/>
          <w:kern w:val="0"/>
          <w:sz w:val="24"/>
          <w:szCs w:val="24"/>
          <w:highlight w:val="none"/>
          <w:lang w:val="en-US" w:eastAsia="zh-CN"/>
        </w:rPr>
        <w:t>投标方负责改设备的设计、安装、调试等所有工作</w:t>
      </w:r>
    </w:p>
    <w:p w14:paraId="7AF152D7">
      <w:pPr>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3.1.2</w:t>
      </w:r>
      <w:r>
        <w:rPr>
          <w:rFonts w:hint="eastAsia" w:ascii="微软雅黑" w:hAnsi="微软雅黑" w:eastAsia="微软雅黑" w:cs="微软雅黑"/>
          <w:spacing w:val="5"/>
          <w:sz w:val="24"/>
          <w:szCs w:val="24"/>
        </w:rPr>
        <w:t xml:space="preserve"> 本技术规范书提出的是最低限度的技术要求，并未对一切技术细节做出规定，也未充分引述有关标准和规范的条文，投标方应保证提供符合本规范书和最新工业标准的优质产品</w:t>
      </w:r>
      <w:r>
        <w:rPr>
          <w:rFonts w:hint="eastAsia" w:ascii="微软雅黑" w:hAnsi="微软雅黑" w:eastAsia="微软雅黑" w:cs="微软雅黑"/>
          <w:sz w:val="24"/>
        </w:rPr>
        <w:t>及其相应优质服</w:t>
      </w:r>
      <w:r>
        <w:rPr>
          <w:rFonts w:hint="eastAsia" w:ascii="微软雅黑" w:hAnsi="微软雅黑" w:eastAsia="微软雅黑" w:cs="微软雅黑"/>
          <w:bCs/>
          <w:sz w:val="24"/>
        </w:rPr>
        <w:t>务。对国家有关安全、环保等强制性标准，必须满足其要求</w:t>
      </w:r>
      <w:r>
        <w:rPr>
          <w:rFonts w:hint="eastAsia" w:ascii="微软雅黑" w:hAnsi="微软雅黑" w:eastAsia="微软雅黑" w:cs="微软雅黑"/>
          <w:sz w:val="24"/>
        </w:rPr>
        <w:t>。</w:t>
      </w:r>
    </w:p>
    <w:p w14:paraId="12F9F396">
      <w:pPr>
        <w:tabs>
          <w:tab w:val="right" w:leader="middleDot" w:pos="8505"/>
        </w:tabs>
        <w:snapToGrid w:val="0"/>
        <w:spacing w:line="480" w:lineRule="exact"/>
        <w:rPr>
          <w:rFonts w:hint="eastAsia" w:ascii="微软雅黑" w:hAnsi="微软雅黑" w:eastAsia="微软雅黑" w:cs="微软雅黑"/>
          <w:sz w:val="24"/>
          <w:u w:val="single"/>
        </w:rPr>
      </w:pPr>
      <w:r>
        <w:rPr>
          <w:rFonts w:hint="eastAsia" w:ascii="微软雅黑" w:hAnsi="微软雅黑" w:eastAsia="微软雅黑" w:cs="微软雅黑"/>
          <w:sz w:val="24"/>
        </w:rPr>
        <w:t>3.1.3</w:t>
      </w:r>
      <w:r>
        <w:rPr>
          <w:rFonts w:hint="eastAsia" w:ascii="微软雅黑" w:hAnsi="微软雅黑" w:eastAsia="微软雅黑" w:cs="微软雅黑"/>
          <w:bCs/>
          <w:sz w:val="24"/>
        </w:rPr>
        <w:t>如果</w:t>
      </w:r>
      <w:r>
        <w:rPr>
          <w:rFonts w:hint="eastAsia" w:ascii="微软雅黑" w:hAnsi="微软雅黑" w:eastAsia="微软雅黑" w:cs="微软雅黑"/>
          <w:spacing w:val="5"/>
          <w:sz w:val="24"/>
          <w:szCs w:val="24"/>
        </w:rPr>
        <w:t>投标方</w:t>
      </w:r>
      <w:r>
        <w:rPr>
          <w:rFonts w:hint="eastAsia" w:ascii="微软雅黑" w:hAnsi="微软雅黑" w:eastAsia="微软雅黑" w:cs="微软雅黑"/>
          <w:bCs/>
          <w:sz w:val="24"/>
        </w:rPr>
        <w:t>没有以书面形式对本技术协议的条文提出异议，则</w:t>
      </w:r>
      <w:r>
        <w:rPr>
          <w:rFonts w:hint="eastAsia" w:ascii="微软雅黑" w:hAnsi="微软雅黑" w:eastAsia="微软雅黑" w:cs="微软雅黑"/>
          <w:bCs/>
          <w:sz w:val="24"/>
          <w:lang w:eastAsia="zh-CN"/>
        </w:rPr>
        <w:t>宁夏中宁发电有限责任公司</w:t>
      </w:r>
      <w:r>
        <w:rPr>
          <w:rFonts w:hint="eastAsia" w:ascii="微软雅黑" w:hAnsi="微软雅黑" w:eastAsia="微软雅黑" w:cs="微软雅黑"/>
          <w:bCs/>
          <w:sz w:val="24"/>
        </w:rPr>
        <w:t>可以认为</w:t>
      </w:r>
      <w:r>
        <w:rPr>
          <w:rFonts w:hint="eastAsia" w:ascii="微软雅黑" w:hAnsi="微软雅黑" w:eastAsia="微软雅黑" w:cs="微软雅黑"/>
          <w:spacing w:val="5"/>
          <w:sz w:val="24"/>
          <w:szCs w:val="24"/>
        </w:rPr>
        <w:t>投标方</w:t>
      </w:r>
      <w:r>
        <w:rPr>
          <w:rFonts w:hint="eastAsia" w:ascii="微软雅黑" w:hAnsi="微软雅黑" w:eastAsia="微软雅黑" w:cs="微软雅黑"/>
          <w:bCs/>
          <w:sz w:val="24"/>
        </w:rPr>
        <w:t>能满足本技术协议的要求</w:t>
      </w:r>
      <w:r>
        <w:rPr>
          <w:rFonts w:hint="eastAsia" w:ascii="微软雅黑" w:hAnsi="微软雅黑" w:eastAsia="微软雅黑" w:cs="微软雅黑"/>
          <w:sz w:val="24"/>
        </w:rPr>
        <w:t>。</w:t>
      </w:r>
    </w:p>
    <w:p w14:paraId="0AD3E85E">
      <w:pPr>
        <w:tabs>
          <w:tab w:val="right" w:leader="middleDot" w:pos="8505"/>
        </w:tabs>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3.1.4</w:t>
      </w:r>
      <w:r>
        <w:rPr>
          <w:rFonts w:hint="eastAsia" w:ascii="微软雅黑" w:hAnsi="微软雅黑" w:eastAsia="微软雅黑" w:cs="微软雅黑"/>
          <w:spacing w:val="5"/>
          <w:sz w:val="24"/>
          <w:szCs w:val="24"/>
        </w:rPr>
        <w:t>投标方</w:t>
      </w:r>
      <w:r>
        <w:rPr>
          <w:rFonts w:hint="eastAsia" w:ascii="微软雅黑" w:hAnsi="微软雅黑" w:eastAsia="微软雅黑" w:cs="微软雅黑"/>
          <w:bCs/>
          <w:sz w:val="24"/>
        </w:rPr>
        <w:t>须执行本协议所列要求、标准，本协议中未提及的内容均应满足或优于本协议所列的国家标准、电力行业标准和有关国际标准</w:t>
      </w:r>
      <w:r>
        <w:rPr>
          <w:rFonts w:hint="eastAsia" w:ascii="微软雅黑" w:hAnsi="微软雅黑" w:eastAsia="微软雅黑" w:cs="微软雅黑"/>
          <w:sz w:val="24"/>
        </w:rPr>
        <w:t>。</w:t>
      </w:r>
    </w:p>
    <w:p w14:paraId="0147704D">
      <w:pPr>
        <w:tabs>
          <w:tab w:val="right" w:leader="middleDot" w:pos="8505"/>
        </w:tabs>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3.1.5</w:t>
      </w:r>
      <w:r>
        <w:rPr>
          <w:rFonts w:hint="eastAsia" w:ascii="微软雅黑" w:hAnsi="微软雅黑" w:eastAsia="微软雅黑" w:cs="微软雅黑"/>
          <w:bCs/>
          <w:sz w:val="24"/>
        </w:rPr>
        <w:t>在合同签订生效之后，</w:t>
      </w:r>
      <w:r>
        <w:rPr>
          <w:rFonts w:hint="eastAsia" w:ascii="微软雅黑" w:hAnsi="微软雅黑" w:eastAsia="微软雅黑" w:cs="微软雅黑"/>
          <w:bCs/>
          <w:sz w:val="24"/>
          <w:lang w:eastAsia="zh-CN"/>
        </w:rPr>
        <w:t>招标方</w:t>
      </w:r>
      <w:r>
        <w:rPr>
          <w:rFonts w:hint="eastAsia" w:ascii="微软雅黑" w:hAnsi="微软雅黑" w:eastAsia="微软雅黑" w:cs="微软雅黑"/>
          <w:bCs/>
          <w:sz w:val="24"/>
        </w:rPr>
        <w:t>有权提出因规范标准和规程发生变化而产生的一些补充修改要求，具体项目由</w:t>
      </w:r>
      <w:r>
        <w:rPr>
          <w:rFonts w:hint="eastAsia" w:ascii="微软雅黑" w:hAnsi="微软雅黑" w:eastAsia="微软雅黑" w:cs="微软雅黑"/>
          <w:bCs/>
          <w:sz w:val="24"/>
          <w:lang w:val="en-US" w:eastAsia="zh-CN"/>
        </w:rPr>
        <w:t>招</w:t>
      </w:r>
      <w:r>
        <w:rPr>
          <w:rFonts w:hint="eastAsia" w:ascii="微软雅黑" w:hAnsi="微软雅黑" w:eastAsia="微软雅黑" w:cs="微软雅黑"/>
          <w:bCs/>
          <w:sz w:val="24"/>
        </w:rPr>
        <w:t>、</w:t>
      </w:r>
      <w:r>
        <w:rPr>
          <w:rFonts w:hint="eastAsia" w:ascii="微软雅黑" w:hAnsi="微软雅黑" w:eastAsia="微软雅黑" w:cs="微软雅黑"/>
          <w:bCs/>
          <w:sz w:val="24"/>
          <w:lang w:val="en-US" w:eastAsia="zh-CN"/>
        </w:rPr>
        <w:t>投标</w:t>
      </w:r>
      <w:r>
        <w:rPr>
          <w:rFonts w:hint="eastAsia" w:ascii="微软雅黑" w:hAnsi="微软雅黑" w:eastAsia="微软雅黑" w:cs="微软雅黑"/>
          <w:bCs/>
          <w:sz w:val="24"/>
        </w:rPr>
        <w:t>双方共同协商处理。</w:t>
      </w:r>
    </w:p>
    <w:p w14:paraId="4F2E254B">
      <w:pPr>
        <w:tabs>
          <w:tab w:val="right" w:leader="middleDot" w:pos="8505"/>
        </w:tabs>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3.1.6投标方对除铁器的成套系统设备（含辅助系统与设备）负有全责，即包括分包（或采购）的产品。分包（或对外采购）的产品制造商须事先征得招标方的认可。</w:t>
      </w:r>
    </w:p>
    <w:p w14:paraId="7C26D5CF">
      <w:pPr>
        <w:tabs>
          <w:tab w:val="right" w:leader="middleDot" w:pos="8505"/>
        </w:tabs>
        <w:snapToGrid w:val="0"/>
        <w:spacing w:line="480" w:lineRule="exact"/>
        <w:rPr>
          <w:rFonts w:hint="eastAsia" w:ascii="微软雅黑" w:hAnsi="微软雅黑" w:eastAsia="微软雅黑" w:cs="微软雅黑"/>
          <w:bCs/>
          <w:sz w:val="24"/>
        </w:rPr>
      </w:pPr>
      <w:r>
        <w:rPr>
          <w:rFonts w:hint="eastAsia" w:ascii="微软雅黑" w:hAnsi="微软雅黑" w:eastAsia="微软雅黑" w:cs="微软雅黑"/>
          <w:sz w:val="24"/>
        </w:rPr>
        <w:t>3.1.7</w:t>
      </w:r>
      <w:r>
        <w:rPr>
          <w:rFonts w:hint="eastAsia" w:ascii="微软雅黑" w:hAnsi="微软雅黑" w:eastAsia="微软雅黑" w:cs="微软雅黑"/>
          <w:bCs/>
          <w:sz w:val="24"/>
        </w:rPr>
        <w:t>本技术</w:t>
      </w:r>
      <w:r>
        <w:rPr>
          <w:rFonts w:hint="eastAsia" w:ascii="微软雅黑" w:hAnsi="微软雅黑" w:eastAsia="微软雅黑" w:cs="微软雅黑"/>
          <w:sz w:val="24"/>
        </w:rPr>
        <w:t>规范书</w:t>
      </w:r>
      <w:r>
        <w:rPr>
          <w:rFonts w:hint="eastAsia" w:ascii="微软雅黑" w:hAnsi="微软雅黑" w:eastAsia="微软雅黑" w:cs="微软雅黑"/>
          <w:bCs/>
          <w:sz w:val="24"/>
        </w:rPr>
        <w:t>为订货合同的附件，与合同正文具有同等效力。</w:t>
      </w:r>
    </w:p>
    <w:p w14:paraId="280A898E">
      <w:pPr>
        <w:snapToGrid w:val="0"/>
        <w:spacing w:line="48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rPr>
        <w:t>3.1.</w:t>
      </w:r>
      <w:r>
        <w:rPr>
          <w:rFonts w:hint="eastAsia" w:ascii="微软雅黑" w:hAnsi="微软雅黑" w:eastAsia="微软雅黑" w:cs="微软雅黑"/>
          <w:bCs/>
          <w:sz w:val="24"/>
          <w:lang w:eastAsia="zh-CN"/>
        </w:rPr>
        <w:t>8</w:t>
      </w:r>
      <w:r>
        <w:rPr>
          <w:rFonts w:hint="eastAsia" w:ascii="微软雅黑" w:hAnsi="微软雅黑" w:eastAsia="微软雅黑" w:cs="微软雅黑"/>
          <w:bCs/>
          <w:sz w:val="24"/>
          <w:lang w:val="en-US" w:eastAsia="zh-CN"/>
        </w:rPr>
        <w:t>投标方</w:t>
      </w:r>
      <w:r>
        <w:rPr>
          <w:rFonts w:hint="eastAsia" w:ascii="微软雅黑" w:hAnsi="微软雅黑" w:eastAsia="微软雅黑" w:cs="微软雅黑"/>
          <w:bCs/>
          <w:sz w:val="24"/>
          <w:lang w:eastAsia="zh-CN"/>
        </w:rPr>
        <w:t>提供的进口设备无论整机还是部件，要求供货商提供设备原产地证明和生产国商会证明，生产国到中国指定港口的海运单及海关报关证明。</w:t>
      </w:r>
      <w:r>
        <w:rPr>
          <w:rFonts w:hint="eastAsia" w:ascii="微软雅黑" w:hAnsi="微软雅黑" w:eastAsia="微软雅黑" w:cs="微软雅黑"/>
          <w:bCs/>
          <w:sz w:val="24"/>
          <w:szCs w:val="24"/>
        </w:rPr>
        <w:t>投标方</w:t>
      </w:r>
      <w:r>
        <w:rPr>
          <w:rFonts w:hint="eastAsia" w:ascii="微软雅黑" w:hAnsi="微软雅黑" w:eastAsia="微软雅黑" w:cs="微软雅黑"/>
          <w:bCs/>
          <w:sz w:val="24"/>
          <w:szCs w:val="24"/>
          <w:lang w:val="en-US" w:eastAsia="zh-CN"/>
        </w:rPr>
        <w:t>提供</w:t>
      </w:r>
      <w:r>
        <w:rPr>
          <w:rFonts w:hint="eastAsia" w:ascii="微软雅黑" w:hAnsi="微软雅黑" w:eastAsia="微软雅黑" w:cs="微软雅黑"/>
          <w:bCs/>
          <w:sz w:val="24"/>
          <w:lang w:val="en-US" w:eastAsia="zh-CN"/>
        </w:rPr>
        <w:t>除铁器整套设备应</w:t>
      </w:r>
      <w:r>
        <w:rPr>
          <w:rFonts w:hint="eastAsia" w:ascii="微软雅黑" w:hAnsi="微软雅黑" w:eastAsia="微软雅黑" w:cs="微软雅黑"/>
          <w:bCs/>
          <w:sz w:val="24"/>
          <w:szCs w:val="24"/>
          <w:lang w:val="en-US" w:eastAsia="zh-CN"/>
        </w:rPr>
        <w:t>保证不侵犯第三方</w:t>
      </w:r>
      <w:r>
        <w:rPr>
          <w:rFonts w:hint="eastAsia" w:ascii="微软雅黑" w:hAnsi="微软雅黑" w:eastAsia="微软雅黑" w:cs="微软雅黑"/>
          <w:bCs/>
          <w:sz w:val="24"/>
          <w:szCs w:val="24"/>
        </w:rPr>
        <w:t>专利技术，否则视为投标无效</w:t>
      </w:r>
      <w:r>
        <w:rPr>
          <w:rFonts w:hint="eastAsia" w:ascii="微软雅黑" w:hAnsi="微软雅黑" w:eastAsia="微软雅黑" w:cs="微软雅黑"/>
          <w:bCs/>
          <w:sz w:val="24"/>
          <w:szCs w:val="24"/>
          <w:lang w:eastAsia="zh-CN"/>
        </w:rPr>
        <w:t>。</w:t>
      </w:r>
    </w:p>
    <w:p w14:paraId="574A651C">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rPr>
        <w:t>3.1.</w:t>
      </w:r>
      <w:r>
        <w:rPr>
          <w:rFonts w:hint="eastAsia" w:ascii="微软雅黑" w:hAnsi="微软雅黑" w:eastAsia="微软雅黑" w:cs="微软雅黑"/>
          <w:bCs/>
          <w:sz w:val="24"/>
          <w:lang w:val="en-US" w:eastAsia="zh-CN"/>
        </w:rPr>
        <w:t>9对于投标人所提供的设计产品（包括图纸、文件、资料等）、设备和服务所涉及的专利技术、专有技术等所含有的有关知识产权，投标人须保证招标人自然对其拥有使用权，并保证招标人使用这些产品和服务时避免知识产权的诉讼纠纷。</w:t>
      </w:r>
    </w:p>
    <w:p w14:paraId="7DAC18CB">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3.1.10投标人所供货的产品，设备选型配置要求采用高效节能产品，不得使用国家明令禁止的淘汰的落后产品（如电机等）和假冒产品。</w:t>
      </w:r>
    </w:p>
    <w:p w14:paraId="5FDD18E4">
      <w:pPr>
        <w:snapToGrid w:val="0"/>
        <w:spacing w:line="480" w:lineRule="exact"/>
        <w:rPr>
          <w:rFonts w:hint="eastAsia" w:ascii="微软雅黑" w:hAnsi="微软雅黑" w:eastAsia="微软雅黑" w:cs="微软雅黑"/>
          <w:b/>
          <w:sz w:val="24"/>
          <w:szCs w:val="24"/>
        </w:rPr>
      </w:pPr>
      <w:r>
        <w:rPr>
          <w:rFonts w:hint="eastAsia" w:ascii="微软雅黑" w:hAnsi="微软雅黑" w:eastAsia="微软雅黑" w:cs="微软雅黑"/>
          <w:sz w:val="24"/>
        </w:rPr>
        <w:t>3.1.1</w:t>
      </w:r>
      <w:r>
        <w:rPr>
          <w:rFonts w:hint="eastAsia" w:ascii="微软雅黑" w:hAnsi="微软雅黑" w:eastAsia="微软雅黑" w:cs="微软雅黑"/>
          <w:sz w:val="24"/>
          <w:lang w:val="en-US" w:eastAsia="zh-CN"/>
        </w:rPr>
        <w:t>1</w:t>
      </w:r>
      <w:r>
        <w:rPr>
          <w:rFonts w:hint="eastAsia" w:ascii="微软雅黑" w:hAnsi="微软雅黑" w:eastAsia="微软雅黑" w:cs="微软雅黑"/>
          <w:sz w:val="24"/>
        </w:rPr>
        <w:t>投标方提供的</w:t>
      </w:r>
      <w:r>
        <w:rPr>
          <w:rFonts w:hint="eastAsia" w:ascii="微软雅黑" w:hAnsi="微软雅黑" w:eastAsia="微软雅黑" w:cs="微软雅黑"/>
          <w:bCs/>
          <w:sz w:val="24"/>
          <w:lang w:val="en-US" w:eastAsia="zh-CN"/>
        </w:rPr>
        <w:t>除铁器整套设备</w:t>
      </w:r>
      <w:r>
        <w:rPr>
          <w:rFonts w:hint="eastAsia" w:ascii="微软雅黑" w:hAnsi="微软雅黑" w:eastAsia="微软雅黑" w:cs="微软雅黑"/>
          <w:sz w:val="24"/>
        </w:rPr>
        <w:t>应具备有成熟经验，应能长期、持续运行。本招标过程存在资格预审，投标方在确认投标的条件下，需在距离招标开始的至少10天前联系招标方</w:t>
      </w:r>
      <w:r>
        <w:rPr>
          <w:rFonts w:hint="eastAsia" w:ascii="微软雅黑" w:hAnsi="微软雅黑" w:eastAsia="微软雅黑" w:cs="微软雅黑"/>
          <w:sz w:val="24"/>
          <w:lang w:val="en-US" w:eastAsia="zh-CN"/>
        </w:rPr>
        <w:t>技术人员，进行现场勘测</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未进行现场勘测</w:t>
      </w:r>
      <w:r>
        <w:rPr>
          <w:rFonts w:hint="eastAsia" w:ascii="微软雅黑" w:hAnsi="微软雅黑" w:eastAsia="微软雅黑" w:cs="微软雅黑"/>
          <w:sz w:val="24"/>
        </w:rPr>
        <w:t>视为投标无效</w:t>
      </w:r>
      <w:r>
        <w:rPr>
          <w:rFonts w:hint="eastAsia" w:ascii="微软雅黑" w:hAnsi="微软雅黑" w:eastAsia="微软雅黑" w:cs="微软雅黑"/>
          <w:sz w:val="24"/>
          <w:lang w:eastAsia="zh-CN"/>
        </w:rPr>
        <w:t>。</w:t>
      </w:r>
    </w:p>
    <w:p w14:paraId="62270B25">
      <w:pPr>
        <w:snapToGrid w:val="0"/>
        <w:spacing w:line="480" w:lineRule="exact"/>
        <w:rPr>
          <w:rFonts w:hint="eastAsia" w:ascii="微软雅黑" w:hAnsi="微软雅黑" w:eastAsia="微软雅黑" w:cs="微软雅黑"/>
          <w:b/>
          <w:kern w:val="0"/>
          <w:sz w:val="24"/>
        </w:rPr>
      </w:pPr>
      <w:r>
        <w:rPr>
          <w:rFonts w:hint="eastAsia" w:ascii="微软雅黑" w:hAnsi="微软雅黑" w:eastAsia="微软雅黑" w:cs="微软雅黑"/>
          <w:b/>
          <w:sz w:val="24"/>
          <w:szCs w:val="24"/>
        </w:rPr>
        <w:t>3.2</w:t>
      </w:r>
      <w:r>
        <w:rPr>
          <w:rFonts w:hint="eastAsia" w:ascii="微软雅黑" w:hAnsi="微软雅黑" w:eastAsia="微软雅黑" w:cs="微软雅黑"/>
          <w:b/>
          <w:kern w:val="0"/>
          <w:sz w:val="24"/>
        </w:rPr>
        <w:t>安装运行条件</w:t>
      </w:r>
    </w:p>
    <w:p w14:paraId="738CDCFA">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设备安装于室内。</w:t>
      </w:r>
    </w:p>
    <w:p w14:paraId="792F9FDF">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3.2.1日工作班制：3班制。</w:t>
      </w:r>
    </w:p>
    <w:p w14:paraId="4059475F">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3.2.2每班运行时间：3-4h。</w:t>
      </w:r>
    </w:p>
    <w:p w14:paraId="108568A9">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3.2.3运行模式</w:t>
      </w:r>
    </w:p>
    <w:p w14:paraId="5FDE3D86">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运煤系统运行班制为四班制，每班运行3-4h，年平均运行小时数4380h。设备为重型工作制，设计寿命30年。</w:t>
      </w:r>
    </w:p>
    <w:p w14:paraId="5EFF64FE">
      <w:pPr>
        <w:snapToGrid w:val="0"/>
        <w:spacing w:line="480" w:lineRule="exact"/>
        <w:rPr>
          <w:rFonts w:hint="eastAsia" w:ascii="微软雅黑" w:hAnsi="微软雅黑" w:eastAsia="微软雅黑" w:cs="微软雅黑"/>
          <w:bCs/>
          <w:sz w:val="24"/>
          <w:lang w:val="en-US" w:eastAsia="zh-CN"/>
        </w:rPr>
      </w:pPr>
      <w:r>
        <w:rPr>
          <w:rFonts w:hint="eastAsia" w:ascii="微软雅黑" w:hAnsi="微软雅黑" w:eastAsia="微软雅黑" w:cs="微软雅黑"/>
          <w:bCs/>
          <w:sz w:val="24"/>
          <w:lang w:val="en-US" w:eastAsia="zh-CN"/>
        </w:rPr>
        <w:t>3.2.3设备必须满足长期连续运行的要求。启动、运行和停机应平稳并安全可靠。</w:t>
      </w:r>
    </w:p>
    <w:p w14:paraId="5F0A9653">
      <w:pPr>
        <w:pStyle w:val="15"/>
        <w:numPr>
          <w:ilvl w:val="0"/>
          <w:numId w:val="0"/>
        </w:numPr>
        <w:spacing w:before="120" w:line="480" w:lineRule="exact"/>
        <w:ind w:leftChars="0"/>
        <w:outlineLvl w:val="0"/>
        <w:rPr>
          <w:rFonts w:hint="eastAsia" w:ascii="微软雅黑" w:hAnsi="微软雅黑" w:eastAsia="微软雅黑" w:cs="微软雅黑"/>
          <w:b/>
          <w:sz w:val="28"/>
          <w:szCs w:val="28"/>
        </w:rPr>
      </w:pPr>
      <w:r>
        <w:rPr>
          <w:rFonts w:hint="eastAsia" w:ascii="微软雅黑" w:hAnsi="微软雅黑" w:eastAsia="微软雅黑" w:cs="微软雅黑"/>
          <w:b/>
          <w:sz w:val="28"/>
          <w:szCs w:val="28"/>
          <w:lang w:val="en-US" w:eastAsia="zh-CN"/>
        </w:rPr>
        <w:t>四、</w:t>
      </w:r>
      <w:r>
        <w:rPr>
          <w:rFonts w:hint="eastAsia" w:ascii="微软雅黑" w:hAnsi="微软雅黑" w:eastAsia="微软雅黑" w:cs="微软雅黑"/>
          <w:b/>
          <w:sz w:val="28"/>
          <w:szCs w:val="28"/>
        </w:rPr>
        <w:t>技术要求</w:t>
      </w:r>
    </w:p>
    <w:p w14:paraId="4E6C2B23">
      <w:pPr>
        <w:pStyle w:val="15"/>
        <w:numPr>
          <w:ilvl w:val="-1"/>
          <w:numId w:val="0"/>
        </w:numPr>
        <w:tabs>
          <w:tab w:val="left" w:pos="544"/>
        </w:tabs>
        <w:spacing w:line="50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color w:val="000000"/>
          <w:sz w:val="24"/>
          <w:szCs w:val="24"/>
          <w:lang w:val="en-US" w:eastAsia="zh-CN"/>
        </w:rPr>
        <w:t>4.1</w:t>
      </w:r>
      <w:r>
        <w:rPr>
          <w:rFonts w:hint="eastAsia" w:ascii="微软雅黑" w:hAnsi="微软雅黑" w:eastAsia="微软雅黑" w:cs="微软雅黑"/>
          <w:color w:val="000000"/>
          <w:sz w:val="24"/>
          <w:szCs w:val="24"/>
        </w:rPr>
        <w:t>除铁器悬挂在带式输送机头部或中部的工作胶带面上</w:t>
      </w:r>
    </w:p>
    <w:p w14:paraId="05301F07">
      <w:pPr>
        <w:pStyle w:val="15"/>
        <w:numPr>
          <w:ilvl w:val="-1"/>
          <w:numId w:val="0"/>
        </w:numPr>
        <w:tabs>
          <w:tab w:val="left" w:pos="544"/>
        </w:tabs>
        <w:spacing w:line="500" w:lineRule="exact"/>
        <w:ind w:left="0" w:firstLine="0"/>
        <w:outlineLvl w:val="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4.2 </w:t>
      </w:r>
      <w:bookmarkStart w:id="12" w:name="_Toc209861502"/>
      <w:r>
        <w:rPr>
          <w:rFonts w:hint="eastAsia" w:ascii="微软雅黑" w:hAnsi="微软雅黑" w:eastAsia="微软雅黑" w:cs="微软雅黑"/>
          <w:sz w:val="24"/>
          <w:szCs w:val="24"/>
          <w:lang w:val="en-US" w:eastAsia="zh-CN"/>
        </w:rPr>
        <w:t>带式输送机主要技术规格</w:t>
      </w:r>
      <w:bookmarkEnd w:id="12"/>
    </w:p>
    <w:p w14:paraId="67BE94A5">
      <w:pPr>
        <w:pStyle w:val="15"/>
        <w:widowControl w:val="0"/>
        <w:numPr>
          <w:ilvl w:val="0"/>
          <w:numId w:val="0"/>
        </w:numPr>
        <w:tabs>
          <w:tab w:val="left" w:pos="544"/>
        </w:tabs>
        <w:spacing w:line="500" w:lineRule="exact"/>
        <w:jc w:val="both"/>
        <w:outlineLvl w:val="0"/>
        <w:rPr>
          <w:rFonts w:hint="eastAsia" w:ascii="微软雅黑" w:hAnsi="微软雅黑" w:eastAsia="微软雅黑" w:cs="微软雅黑"/>
          <w:sz w:val="24"/>
          <w:szCs w:val="24"/>
          <w:lang w:val="en-US" w:eastAsia="zh-CN"/>
        </w:rPr>
      </w:pPr>
    </w:p>
    <w:tbl>
      <w:tblPr>
        <w:tblStyle w:val="25"/>
        <w:tblW w:w="86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3"/>
        <w:gridCol w:w="6008"/>
      </w:tblGrid>
      <w:tr w14:paraId="23B0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633" w:type="dxa"/>
            <w:vAlign w:val="top"/>
          </w:tcPr>
          <w:p w14:paraId="02D0FE89">
            <w:pPr>
              <w:bidi w:val="0"/>
              <w:jc w:val="center"/>
              <w:rPr>
                <w:rFonts w:hint="eastAsia" w:ascii="微软雅黑" w:hAnsi="微软雅黑" w:eastAsia="微软雅黑" w:cs="微软雅黑"/>
                <w:kern w:val="2"/>
                <w:sz w:val="21"/>
                <w:szCs w:val="24"/>
                <w:lang w:val="en-US" w:eastAsia="zh-CN" w:bidi="ar-SA"/>
              </w:rPr>
            </w:pPr>
            <w:r>
              <w:rPr>
                <w:rFonts w:hint="eastAsia" w:ascii="微软雅黑" w:hAnsi="微软雅黑" w:eastAsia="微软雅黑" w:cs="微软雅黑"/>
                <w:kern w:val="2"/>
                <w:sz w:val="21"/>
                <w:szCs w:val="24"/>
                <w:lang w:val="en-US" w:eastAsia="zh-CN" w:bidi="ar-SA"/>
              </w:rPr>
              <w:t>皮带机</w:t>
            </w:r>
          </w:p>
        </w:tc>
        <w:tc>
          <w:tcPr>
            <w:tcW w:w="6008" w:type="dxa"/>
            <w:vAlign w:val="top"/>
          </w:tcPr>
          <w:p w14:paraId="70BD5EC5">
            <w:pPr>
              <w:adjustRightInd/>
              <w:snapToGrid w:val="0"/>
              <w:spacing w:line="360" w:lineRule="auto"/>
              <w:jc w:val="center"/>
              <w:textAlignment w:val="auto"/>
              <w:rPr>
                <w:rFonts w:hint="default" w:ascii="微软雅黑" w:hAnsi="微软雅黑" w:eastAsia="微软雅黑" w:cs="微软雅黑"/>
                <w:color w:val="000000"/>
                <w:sz w:val="24"/>
                <w:szCs w:val="24"/>
                <w:highlight w:val="yellow"/>
                <w:lang w:val="en-US" w:eastAsia="zh-CN"/>
              </w:rPr>
            </w:pPr>
            <w:r>
              <w:rPr>
                <w:rFonts w:hint="eastAsia" w:ascii="微软雅黑" w:hAnsi="微软雅黑" w:eastAsia="微软雅黑" w:cs="微软雅黑"/>
                <w:color w:val="000000"/>
                <w:sz w:val="24"/>
                <w:szCs w:val="24"/>
                <w:highlight w:val="none"/>
                <w:lang w:val="en-US" w:eastAsia="zh-CN"/>
              </w:rPr>
              <w:t>输煤#5皮带</w:t>
            </w:r>
          </w:p>
        </w:tc>
      </w:tr>
      <w:tr w14:paraId="1E2D3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51983CDA">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带宽</w:t>
            </w:r>
          </w:p>
        </w:tc>
        <w:tc>
          <w:tcPr>
            <w:tcW w:w="6008" w:type="dxa"/>
            <w:vAlign w:val="top"/>
          </w:tcPr>
          <w:p w14:paraId="4186B7E8">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w:t>
            </w:r>
            <w:r>
              <w:rPr>
                <w:rFonts w:hint="eastAsia" w:ascii="微软雅黑" w:hAnsi="微软雅黑" w:eastAsia="微软雅黑" w:cs="微软雅黑"/>
                <w:color w:val="000000"/>
                <w:sz w:val="24"/>
                <w:szCs w:val="24"/>
                <w:lang w:val="en-US" w:eastAsia="zh-CN"/>
              </w:rPr>
              <w:t>0</w:t>
            </w:r>
            <w:r>
              <w:rPr>
                <w:rFonts w:hint="eastAsia" w:ascii="微软雅黑" w:hAnsi="微软雅黑" w:eastAsia="微软雅黑" w:cs="微软雅黑"/>
                <w:color w:val="000000"/>
                <w:sz w:val="24"/>
                <w:szCs w:val="24"/>
              </w:rPr>
              <w:t>00mm</w:t>
            </w:r>
          </w:p>
        </w:tc>
      </w:tr>
      <w:tr w14:paraId="1BA42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47DCA780">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带速</w:t>
            </w:r>
          </w:p>
        </w:tc>
        <w:tc>
          <w:tcPr>
            <w:tcW w:w="6008" w:type="dxa"/>
            <w:vAlign w:val="top"/>
          </w:tcPr>
          <w:p w14:paraId="2BA5BD11">
            <w:pPr>
              <w:adjustRightInd/>
              <w:snapToGrid w:val="0"/>
              <w:spacing w:line="360" w:lineRule="auto"/>
              <w:jc w:val="center"/>
              <w:textAlignment w:val="auto"/>
              <w:rPr>
                <w:rFonts w:hint="eastAsia" w:ascii="微软雅黑" w:hAnsi="微软雅黑" w:eastAsia="微软雅黑" w:cs="微软雅黑"/>
                <w:color w:val="000000"/>
                <w:sz w:val="24"/>
                <w:szCs w:val="24"/>
                <w:highlight w:val="none"/>
                <w:lang w:val="en-US" w:eastAsia="zh-CN" w:bidi="ar-SA"/>
              </w:rPr>
            </w:pPr>
            <w:r>
              <w:rPr>
                <w:rFonts w:hint="eastAsia" w:ascii="微软雅黑" w:hAnsi="微软雅黑" w:eastAsia="微软雅黑" w:cs="微软雅黑"/>
                <w:color w:val="000000"/>
                <w:sz w:val="24"/>
                <w:szCs w:val="24"/>
                <w:highlight w:val="none"/>
              </w:rPr>
              <w:t>2.5m/s</w:t>
            </w:r>
          </w:p>
        </w:tc>
      </w:tr>
      <w:tr w14:paraId="09C0A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103EB8E5">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出力</w:t>
            </w:r>
          </w:p>
        </w:tc>
        <w:tc>
          <w:tcPr>
            <w:tcW w:w="6008" w:type="dxa"/>
            <w:vAlign w:val="top"/>
          </w:tcPr>
          <w:p w14:paraId="5D379B6C">
            <w:pPr>
              <w:adjustRightInd/>
              <w:snapToGrid w:val="0"/>
              <w:spacing w:line="360" w:lineRule="auto"/>
              <w:jc w:val="center"/>
              <w:textAlignment w:val="auto"/>
              <w:rPr>
                <w:rFonts w:hint="eastAsia" w:ascii="微软雅黑" w:hAnsi="微软雅黑" w:eastAsia="微软雅黑" w:cs="微软雅黑"/>
                <w:color w:val="000000"/>
                <w:sz w:val="24"/>
                <w:szCs w:val="24"/>
                <w:highlight w:val="yellow"/>
                <w:lang w:val="en-US" w:eastAsia="zh-CN" w:bidi="ar-SA"/>
              </w:rPr>
            </w:pPr>
            <w:r>
              <w:rPr>
                <w:rFonts w:hint="eastAsia" w:ascii="微软雅黑" w:hAnsi="微软雅黑" w:eastAsia="微软雅黑" w:cs="微软雅黑"/>
                <w:color w:val="000000"/>
                <w:sz w:val="24"/>
                <w:szCs w:val="24"/>
                <w:highlight w:val="none"/>
                <w:lang w:val="en-US" w:eastAsia="zh-CN"/>
              </w:rPr>
              <w:t>600</w:t>
            </w:r>
            <w:r>
              <w:rPr>
                <w:rFonts w:hint="eastAsia" w:ascii="微软雅黑" w:hAnsi="微软雅黑" w:eastAsia="微软雅黑" w:cs="微软雅黑"/>
                <w:color w:val="000000"/>
                <w:sz w:val="24"/>
                <w:szCs w:val="24"/>
                <w:highlight w:val="none"/>
              </w:rPr>
              <w:t>t/h</w:t>
            </w:r>
          </w:p>
        </w:tc>
      </w:tr>
      <w:tr w14:paraId="717F6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7E7372B1">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槽角</w:t>
            </w:r>
          </w:p>
        </w:tc>
        <w:tc>
          <w:tcPr>
            <w:tcW w:w="6008" w:type="dxa"/>
            <w:vAlign w:val="top"/>
          </w:tcPr>
          <w:p w14:paraId="45AC9BE7">
            <w:pPr>
              <w:adjustRightInd/>
              <w:snapToGrid w:val="0"/>
              <w:spacing w:line="360" w:lineRule="auto"/>
              <w:jc w:val="center"/>
              <w:textAlignment w:val="auto"/>
              <w:rPr>
                <w:rFonts w:hint="eastAsia" w:ascii="微软雅黑" w:hAnsi="微软雅黑" w:eastAsia="微软雅黑" w:cs="微软雅黑"/>
                <w:color w:val="000000"/>
                <w:sz w:val="24"/>
                <w:szCs w:val="24"/>
                <w:highlight w:val="yellow"/>
                <w:lang w:val="en-US" w:eastAsia="zh-CN" w:bidi="ar-SA"/>
              </w:rPr>
            </w:pPr>
            <w:r>
              <w:rPr>
                <w:rFonts w:hint="eastAsia" w:ascii="微软雅黑" w:hAnsi="微软雅黑" w:eastAsia="微软雅黑" w:cs="微软雅黑"/>
                <w:color w:val="000000"/>
                <w:sz w:val="24"/>
                <w:szCs w:val="24"/>
                <w:highlight w:val="none"/>
              </w:rPr>
              <w:t xml:space="preserve">35 </w:t>
            </w:r>
            <w:r>
              <w:rPr>
                <w:rFonts w:hint="eastAsia" w:ascii="微软雅黑" w:hAnsi="微软雅黑" w:eastAsia="微软雅黑" w:cs="微软雅黑"/>
                <w:color w:val="000000"/>
                <w:sz w:val="24"/>
                <w:szCs w:val="24"/>
                <w:highlight w:val="none"/>
              </w:rPr>
              <w:sym w:font="Symbol" w:char="F0B0"/>
            </w:r>
          </w:p>
        </w:tc>
      </w:tr>
      <w:tr w14:paraId="0E3F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5CB852C6">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倾角</w:t>
            </w:r>
          </w:p>
        </w:tc>
        <w:tc>
          <w:tcPr>
            <w:tcW w:w="6008" w:type="dxa"/>
            <w:vAlign w:val="top"/>
          </w:tcPr>
          <w:p w14:paraId="4853977A">
            <w:pPr>
              <w:adjustRightInd/>
              <w:snapToGrid w:val="0"/>
              <w:spacing w:line="360" w:lineRule="auto"/>
              <w:jc w:val="center"/>
              <w:textAlignment w:val="auto"/>
              <w:rPr>
                <w:rFonts w:hint="eastAsia" w:ascii="微软雅黑" w:hAnsi="微软雅黑" w:eastAsia="微软雅黑" w:cs="微软雅黑"/>
                <w:color w:val="FF0000"/>
                <w:sz w:val="24"/>
                <w:szCs w:val="24"/>
                <w:highlight w:val="yellow"/>
                <w:lang w:val="en-US" w:eastAsia="zh-CN" w:bidi="ar-SA"/>
              </w:rPr>
            </w:pPr>
            <w:r>
              <w:rPr>
                <w:rFonts w:hint="eastAsia"/>
                <w:sz w:val="24"/>
                <w:szCs w:val="24"/>
                <w:highlight w:val="none"/>
              </w:rPr>
              <w:t>1</w:t>
            </w:r>
            <w:r>
              <w:rPr>
                <w:rFonts w:hint="eastAsia"/>
                <w:sz w:val="24"/>
                <w:szCs w:val="24"/>
                <w:highlight w:val="none"/>
                <w:lang w:val="en-US" w:eastAsia="zh-CN"/>
              </w:rPr>
              <w:t>5.45</w:t>
            </w:r>
            <w:r>
              <w:rPr>
                <w:rFonts w:hint="eastAsia"/>
                <w:sz w:val="24"/>
                <w:szCs w:val="24"/>
                <w:highlight w:val="none"/>
              </w:rPr>
              <w:sym w:font="Symbol" w:char="F0B0"/>
            </w:r>
          </w:p>
        </w:tc>
      </w:tr>
      <w:tr w14:paraId="54B0D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2899A6AE">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物料</w:t>
            </w:r>
            <w:r>
              <w:rPr>
                <w:rFonts w:hint="eastAsia" w:ascii="微软雅黑" w:hAnsi="微软雅黑" w:eastAsia="微软雅黑" w:cs="微软雅黑"/>
                <w:color w:val="000000"/>
                <w:sz w:val="24"/>
                <w:szCs w:val="24"/>
                <w:lang w:val="en-US" w:eastAsia="zh-CN"/>
              </w:rPr>
              <w:t>厚度</w:t>
            </w:r>
          </w:p>
        </w:tc>
        <w:tc>
          <w:tcPr>
            <w:tcW w:w="6008" w:type="dxa"/>
            <w:vAlign w:val="top"/>
          </w:tcPr>
          <w:p w14:paraId="19ACA3B0">
            <w:pPr>
              <w:adjustRightInd/>
              <w:snapToGrid w:val="0"/>
              <w:spacing w:line="360" w:lineRule="auto"/>
              <w:jc w:val="center"/>
              <w:textAlignment w:val="auto"/>
              <w:rPr>
                <w:rFonts w:hint="eastAsia" w:ascii="微软雅黑" w:hAnsi="微软雅黑" w:eastAsia="微软雅黑" w:cs="微软雅黑"/>
                <w:color w:val="000000"/>
                <w:sz w:val="24"/>
                <w:szCs w:val="24"/>
                <w:highlight w:val="none"/>
                <w:lang w:val="en-US" w:eastAsia="zh-CN" w:bidi="ar-SA"/>
              </w:rPr>
            </w:pPr>
            <w:r>
              <w:rPr>
                <w:rFonts w:hint="eastAsia" w:ascii="微软雅黑" w:hAnsi="微软雅黑" w:eastAsia="微软雅黑" w:cs="微软雅黑"/>
                <w:color w:val="000000"/>
                <w:sz w:val="24"/>
                <w:szCs w:val="24"/>
                <w:highlight w:val="none"/>
              </w:rPr>
              <w:t>≤</w:t>
            </w:r>
            <w:r>
              <w:rPr>
                <w:rFonts w:hint="eastAsia" w:ascii="微软雅黑" w:hAnsi="微软雅黑" w:eastAsia="微软雅黑" w:cs="微软雅黑"/>
                <w:color w:val="000000"/>
                <w:sz w:val="24"/>
                <w:szCs w:val="24"/>
                <w:highlight w:val="none"/>
                <w:lang w:val="en-US" w:eastAsia="zh-CN"/>
              </w:rPr>
              <w:t>30</w:t>
            </w:r>
            <w:r>
              <w:rPr>
                <w:rFonts w:hint="eastAsia" w:ascii="微软雅黑" w:hAnsi="微软雅黑" w:eastAsia="微软雅黑" w:cs="微软雅黑"/>
                <w:color w:val="000000"/>
                <w:sz w:val="24"/>
                <w:szCs w:val="24"/>
                <w:highlight w:val="none"/>
              </w:rPr>
              <w:t>0mm</w:t>
            </w:r>
          </w:p>
        </w:tc>
      </w:tr>
      <w:tr w14:paraId="3FCC4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33" w:type="dxa"/>
            <w:vAlign w:val="top"/>
          </w:tcPr>
          <w:p w14:paraId="43E3E94D">
            <w:pPr>
              <w:adjustRightInd/>
              <w:snapToGrid w:val="0"/>
              <w:spacing w:line="360" w:lineRule="auto"/>
              <w:jc w:val="center"/>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除铁器安装位置</w:t>
            </w:r>
          </w:p>
        </w:tc>
        <w:tc>
          <w:tcPr>
            <w:tcW w:w="6008" w:type="dxa"/>
            <w:vAlign w:val="top"/>
          </w:tcPr>
          <w:p w14:paraId="6C50400C">
            <w:pPr>
              <w:adjustRightInd/>
              <w:snapToGrid w:val="0"/>
              <w:spacing w:line="360" w:lineRule="auto"/>
              <w:jc w:val="center"/>
              <w:textAlignment w:val="auto"/>
              <w:rPr>
                <w:rFonts w:hint="eastAsia" w:ascii="微软雅黑" w:hAnsi="微软雅黑" w:eastAsia="微软雅黑" w:cs="微软雅黑"/>
                <w:color w:val="000000"/>
                <w:sz w:val="24"/>
                <w:szCs w:val="24"/>
                <w:lang w:val="en-US" w:eastAsia="zh-CN" w:bidi="ar-SA"/>
              </w:rPr>
            </w:pPr>
            <w:r>
              <w:rPr>
                <w:rFonts w:hint="eastAsia" w:ascii="微软雅黑" w:hAnsi="微软雅黑" w:eastAsia="微软雅黑" w:cs="微软雅黑"/>
                <w:color w:val="000000"/>
                <w:sz w:val="24"/>
                <w:szCs w:val="24"/>
                <w:lang w:val="en-US" w:eastAsia="zh-CN" w:bidi="ar-SA"/>
              </w:rPr>
              <w:t>中部</w:t>
            </w:r>
          </w:p>
        </w:tc>
      </w:tr>
    </w:tbl>
    <w:p w14:paraId="1C6984A5">
      <w:pPr>
        <w:pStyle w:val="15"/>
        <w:numPr>
          <w:ilvl w:val="0"/>
          <w:numId w:val="0"/>
        </w:numPr>
        <w:tabs>
          <w:tab w:val="left" w:pos="544"/>
        </w:tabs>
        <w:spacing w:line="500" w:lineRule="exact"/>
        <w:ind w:leftChars="0"/>
        <w:outlineLvl w:val="0"/>
        <w:rPr>
          <w:rFonts w:hint="eastAsia" w:ascii="微软雅黑" w:hAnsi="微软雅黑" w:eastAsia="微软雅黑" w:cs="微软雅黑"/>
          <w:sz w:val="24"/>
          <w:szCs w:val="24"/>
        </w:rPr>
      </w:pPr>
    </w:p>
    <w:p w14:paraId="540BD265">
      <w:pPr>
        <w:pStyle w:val="15"/>
        <w:numPr>
          <w:ilvl w:val="-1"/>
          <w:numId w:val="0"/>
        </w:numPr>
        <w:tabs>
          <w:tab w:val="left" w:pos="544"/>
        </w:tabs>
        <w:spacing w:line="480" w:lineRule="exact"/>
        <w:ind w:left="0" w:firstLine="0"/>
        <w:outlineLvl w:val="0"/>
        <w:rPr>
          <w:rFonts w:hint="eastAsia" w:ascii="微软雅黑" w:hAnsi="微软雅黑" w:eastAsia="微软雅黑" w:cs="微软雅黑"/>
          <w:color w:val="000000"/>
          <w:sz w:val="24"/>
          <w:szCs w:val="24"/>
        </w:rPr>
      </w:pPr>
      <w:r>
        <w:rPr>
          <w:rFonts w:hint="eastAsia" w:ascii="微软雅黑" w:hAnsi="微软雅黑" w:eastAsia="微软雅黑" w:cs="微软雅黑"/>
          <w:b w:val="0"/>
          <w:bCs/>
          <w:sz w:val="24"/>
          <w:szCs w:val="24"/>
          <w:lang w:val="en-US" w:eastAsia="zh-CN"/>
        </w:rPr>
        <w:t>4.3适用带宽：1000mm,额定悬挂高度：350mm,磁场强度：120mT，工作温升≤70℃，励磁功率≤20kW，吸铁重量：0-35Kg，共2套。</w:t>
      </w:r>
    </w:p>
    <w:p w14:paraId="13C962BB">
      <w:pPr>
        <w:pStyle w:val="15"/>
        <w:numPr>
          <w:ilvl w:val="-1"/>
          <w:numId w:val="0"/>
        </w:numPr>
        <w:tabs>
          <w:tab w:val="left" w:pos="544"/>
        </w:tabs>
        <w:spacing w:line="480" w:lineRule="exact"/>
        <w:ind w:left="0" w:firstLine="0"/>
        <w:outlineLvl w:val="0"/>
        <w:rPr>
          <w:rFonts w:hint="eastAsia" w:ascii="微软雅黑" w:hAnsi="微软雅黑" w:eastAsia="微软雅黑" w:cs="微软雅黑"/>
          <w:color w:val="000000"/>
          <w:sz w:val="24"/>
          <w:szCs w:val="24"/>
        </w:rPr>
      </w:pPr>
      <w:r>
        <w:rPr>
          <w:rFonts w:hint="eastAsia" w:ascii="微软雅黑" w:hAnsi="微软雅黑" w:eastAsia="微软雅黑" w:cs="微软雅黑"/>
          <w:b/>
          <w:sz w:val="24"/>
          <w:szCs w:val="24"/>
          <w:lang w:val="en-US" w:eastAsia="zh-CN"/>
        </w:rPr>
        <w:t xml:space="preserve">4.4 </w:t>
      </w:r>
      <w:r>
        <w:rPr>
          <w:rFonts w:hint="eastAsia" w:ascii="微软雅黑" w:hAnsi="微软雅黑" w:eastAsia="微软雅黑" w:cs="微软雅黑"/>
          <w:b/>
          <w:bCs/>
          <w:color w:val="000000"/>
          <w:sz w:val="24"/>
          <w:szCs w:val="24"/>
        </w:rPr>
        <w:t>总的技术要求</w:t>
      </w:r>
    </w:p>
    <w:p w14:paraId="7CE8962A">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4.4.1</w:t>
      </w:r>
      <w:r>
        <w:rPr>
          <w:rFonts w:hint="eastAsia" w:ascii="微软雅黑" w:hAnsi="微软雅黑" w:eastAsia="微软雅黑" w:cs="微软雅黑"/>
          <w:sz w:val="24"/>
          <w:szCs w:val="24"/>
        </w:rPr>
        <w:t>投标方提供的设备应功能完整，技术先进，并能满足人身安全和劳动保护条件。</w:t>
      </w:r>
    </w:p>
    <w:p w14:paraId="0C891B15">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rPr>
      </w:pPr>
      <w:r>
        <w:rPr>
          <w:rFonts w:hint="eastAsia" w:ascii="微软雅黑" w:hAnsi="微软雅黑" w:eastAsia="微软雅黑" w:cs="微软雅黑"/>
          <w:sz w:val="24"/>
          <w:szCs w:val="24"/>
          <w:lang w:val="en-US" w:eastAsia="zh-CN"/>
        </w:rPr>
        <w:t>4.4.2</w:t>
      </w:r>
      <w:r>
        <w:rPr>
          <w:rFonts w:hint="eastAsia" w:ascii="微软雅黑" w:hAnsi="微软雅黑" w:eastAsia="微软雅黑" w:cs="微软雅黑"/>
          <w:sz w:val="24"/>
          <w:szCs w:val="24"/>
        </w:rPr>
        <w:t>所有设备均应正确设计和制造，在正常工况下均能安全、持续运行，而不应有过度的应力、振动、温升、磨损、腐蚀、老化等其它问题，招标方欢迎投标方提供优于本技术规范书要求的先进、成熟、可靠的设备及部件。招标方不接受带有试制性质的部件。</w:t>
      </w:r>
    </w:p>
    <w:p w14:paraId="71B5704A">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4.4.3</w:t>
      </w:r>
      <w:r>
        <w:rPr>
          <w:rFonts w:hint="eastAsia" w:ascii="微软雅黑" w:hAnsi="微软雅黑" w:eastAsia="微软雅黑" w:cs="微软雅黑"/>
          <w:sz w:val="24"/>
          <w:szCs w:val="24"/>
        </w:rPr>
        <w:t>设备零部件应采用先进、可靠的加工制造技术，应有良好的表面几何形状及合适的公差配合。</w:t>
      </w:r>
    </w:p>
    <w:p w14:paraId="153B967C">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sz w:val="24"/>
          <w:szCs w:val="24"/>
          <w:lang w:val="en-US" w:eastAsia="zh-CN"/>
        </w:rPr>
        <w:t>4.4.4</w:t>
      </w:r>
      <w:r>
        <w:rPr>
          <w:rFonts w:hint="eastAsia" w:ascii="微软雅黑" w:hAnsi="微软雅黑" w:eastAsia="微软雅黑" w:cs="微软雅黑"/>
          <w:color w:val="000000"/>
          <w:sz w:val="24"/>
          <w:szCs w:val="24"/>
        </w:rPr>
        <w:t>所有外购配套件必须选用优质、节能、先进的产品，并有生产许可证及产品检验合格证，严禁采用国家公布的淘汰产品。重要部件须取得招标方认可或由招标方指定。投标方应对外购部件及材料进行检验，并对其质量负责。</w:t>
      </w:r>
    </w:p>
    <w:p w14:paraId="5777E77E">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4.4.5</w:t>
      </w:r>
      <w:r>
        <w:rPr>
          <w:rFonts w:hint="eastAsia" w:ascii="微软雅黑" w:hAnsi="微软雅黑" w:eastAsia="微软雅黑" w:cs="微软雅黑"/>
          <w:sz w:val="24"/>
          <w:szCs w:val="24"/>
        </w:rPr>
        <w:t>易于磨损、腐蚀、老化或需要调整、检查和更换的部件应提供备用品，并能比较方便地拆卸、更换和修理。</w:t>
      </w:r>
    </w:p>
    <w:p w14:paraId="2350478D">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4.4.6</w:t>
      </w:r>
      <w:r>
        <w:rPr>
          <w:rFonts w:hint="eastAsia" w:ascii="微软雅黑" w:hAnsi="微软雅黑" w:eastAsia="微软雅黑" w:cs="微软雅黑"/>
          <w:sz w:val="24"/>
          <w:szCs w:val="24"/>
        </w:rPr>
        <w:t>所有重型部件均应具有便于安装和维修用的起吊或搬运条件。</w:t>
      </w:r>
    </w:p>
    <w:p w14:paraId="06A6BAB8">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4.4.7</w:t>
      </w:r>
      <w:r>
        <w:rPr>
          <w:rFonts w:hint="eastAsia" w:ascii="微软雅黑" w:hAnsi="微软雅黑" w:eastAsia="微软雅黑" w:cs="微软雅黑"/>
          <w:sz w:val="24"/>
          <w:szCs w:val="24"/>
        </w:rPr>
        <w:t>所有的材料及零部件（或元器件）应符合有关规范的要求，且应是新的和优质的，并能满足当地环境条件的要求。目前国内产品质量尚不过关的部件，可选用进口产品。</w:t>
      </w:r>
    </w:p>
    <w:p w14:paraId="76D55431">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4.4.9</w:t>
      </w:r>
      <w:r>
        <w:rPr>
          <w:rFonts w:hint="eastAsia" w:ascii="微软雅黑" w:hAnsi="微软雅黑" w:eastAsia="微软雅黑" w:cs="微软雅黑"/>
          <w:sz w:val="24"/>
          <w:szCs w:val="24"/>
        </w:rPr>
        <w:t>电磁除铁器应具有全封闭全填满，自冷防潮防污染、重量轻、吸力强、除铁效率高、散热快、绝缘好的特点。能按给定程序运行，自动清除输送带物料中的铁件，运行过程中不出现漏吸现象；</w:t>
      </w:r>
    </w:p>
    <w:p w14:paraId="57303780">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4.4.10</w:t>
      </w:r>
      <w:r>
        <w:rPr>
          <w:rFonts w:hint="eastAsia" w:ascii="微软雅黑" w:hAnsi="微软雅黑" w:eastAsia="微软雅黑" w:cs="微软雅黑"/>
          <w:sz w:val="24"/>
          <w:szCs w:val="24"/>
        </w:rPr>
        <w:t>电磁除铁器自动投入率要求达到100%；</w:t>
      </w:r>
    </w:p>
    <w:p w14:paraId="4BEE52FD">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电磁除铁器应采用自然冷却方式，除铁器绕组极限温升应小于115℃，除铁器表面极限温度应小于85℃。</w:t>
      </w:r>
    </w:p>
    <w:p w14:paraId="71EBF902">
      <w:pPr>
        <w:numPr>
          <w:ilvl w:val="0"/>
          <w:numId w:val="0"/>
        </w:numPr>
        <w:tabs>
          <w:tab w:val="left" w:pos="700"/>
        </w:tabs>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4.4.10</w:t>
      </w:r>
      <w:r>
        <w:rPr>
          <w:rFonts w:hint="eastAsia" w:ascii="微软雅黑" w:hAnsi="微软雅黑" w:eastAsia="微软雅黑" w:cs="微软雅黑"/>
          <w:sz w:val="24"/>
          <w:szCs w:val="24"/>
        </w:rPr>
        <w:t>设备及部件的噪声必须符合国家有关规定要求。</w:t>
      </w:r>
    </w:p>
    <w:p w14:paraId="141672EC">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4.4.21</w:t>
      </w:r>
      <w:r>
        <w:rPr>
          <w:rFonts w:hint="eastAsia" w:ascii="微软雅黑" w:hAnsi="微软雅黑" w:eastAsia="微软雅黑" w:cs="微软雅黑"/>
          <w:color w:val="000000"/>
          <w:sz w:val="24"/>
          <w:szCs w:val="24"/>
        </w:rPr>
        <w:t>除铁器钢结构件应具有足够的刚度和强度，外观应光滑美观，所有焊缝均应打磨光滑。主要承载结构采用碳素结构钢制造，其化学成分和力学性能符合GB700-2006的规定。</w:t>
      </w:r>
    </w:p>
    <w:p w14:paraId="6EF91A94">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4.4.12</w:t>
      </w:r>
      <w:r>
        <w:rPr>
          <w:rFonts w:hint="eastAsia" w:ascii="微软雅黑" w:hAnsi="微软雅黑" w:eastAsia="微软雅黑" w:cs="微软雅黑"/>
          <w:color w:val="000000"/>
          <w:sz w:val="24"/>
          <w:szCs w:val="24"/>
        </w:rPr>
        <w:t>设备应防尘防水，性能优良可靠。具有优良的绝缘和耐腐蚀性能，能够适应各种恶劣环境需要。</w:t>
      </w:r>
    </w:p>
    <w:p w14:paraId="58C765BF">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4.4.13</w:t>
      </w:r>
      <w:r>
        <w:rPr>
          <w:rFonts w:hint="eastAsia" w:ascii="微软雅黑" w:hAnsi="微软雅黑" w:eastAsia="微软雅黑" w:cs="微软雅黑"/>
          <w:color w:val="000000"/>
          <w:sz w:val="24"/>
          <w:szCs w:val="24"/>
        </w:rPr>
        <w:t>铁芯采用高导磁、高饱和磁感应强度的DT4以上电工纯铁，需降低冷热态磁场差异，提高总磁场的稳定性。</w:t>
      </w:r>
    </w:p>
    <w:p w14:paraId="31C6F2A3">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4.4.14</w:t>
      </w:r>
      <w:r>
        <w:rPr>
          <w:rFonts w:hint="eastAsia" w:ascii="微软雅黑" w:hAnsi="微软雅黑" w:eastAsia="微软雅黑" w:cs="微软雅黑"/>
          <w:color w:val="000000"/>
          <w:sz w:val="24"/>
          <w:szCs w:val="24"/>
        </w:rPr>
        <w:t>电磁除铁器选用全封闭自然冷却或其他更先进技术，不可设置风扇作为辅助冷却手段。</w:t>
      </w:r>
    </w:p>
    <w:p w14:paraId="5A6CCF42">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4.4.15</w:t>
      </w:r>
      <w:r>
        <w:rPr>
          <w:rFonts w:hint="eastAsia" w:ascii="微软雅黑" w:hAnsi="微软雅黑" w:eastAsia="微软雅黑" w:cs="微软雅黑"/>
          <w:color w:val="000000"/>
          <w:sz w:val="24"/>
          <w:szCs w:val="24"/>
        </w:rPr>
        <w:t>除铁率不低于98%，试件重量0.1～</w:t>
      </w:r>
      <w:r>
        <w:rPr>
          <w:rFonts w:hint="eastAsia" w:ascii="微软雅黑" w:hAnsi="微软雅黑" w:eastAsia="微软雅黑" w:cs="微软雅黑"/>
          <w:color w:val="000000"/>
          <w:sz w:val="24"/>
          <w:szCs w:val="24"/>
          <w:lang w:val="en-US" w:eastAsia="zh-CN"/>
        </w:rPr>
        <w:t>35</w:t>
      </w:r>
      <w:r>
        <w:rPr>
          <w:rFonts w:hint="eastAsia" w:ascii="微软雅黑" w:hAnsi="微软雅黑" w:eastAsia="微软雅黑" w:cs="微软雅黑"/>
          <w:color w:val="000000"/>
          <w:sz w:val="24"/>
          <w:szCs w:val="24"/>
        </w:rPr>
        <w:t>kg，除铁率不低于98%，保护皮带机不被划伤</w:t>
      </w:r>
      <w:r>
        <w:rPr>
          <w:rFonts w:hint="eastAsia" w:ascii="微软雅黑" w:hAnsi="微软雅黑" w:eastAsia="微软雅黑" w:cs="微软雅黑"/>
          <w:color w:val="000000"/>
          <w:sz w:val="24"/>
          <w:szCs w:val="24"/>
          <w:lang w:eastAsia="zh-CN"/>
        </w:rPr>
        <w:t>。</w:t>
      </w:r>
      <w:r>
        <w:rPr>
          <w:rFonts w:hint="eastAsia" w:ascii="微软雅黑" w:hAnsi="微软雅黑" w:eastAsia="微软雅黑" w:cs="微软雅黑"/>
          <w:color w:val="000000"/>
          <w:sz w:val="24"/>
          <w:szCs w:val="24"/>
        </w:rPr>
        <w:t>设备安装完进行现场测试，在额定悬挂高度磁极几何中心处，磁场强度应满足规定要求(热态时不低于150mT)。</w:t>
      </w:r>
    </w:p>
    <w:p w14:paraId="3800F612">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4.4.16</w:t>
      </w:r>
      <w:r>
        <w:rPr>
          <w:rFonts w:hint="eastAsia" w:ascii="微软雅黑" w:hAnsi="微软雅黑" w:eastAsia="微软雅黑" w:cs="微软雅黑"/>
          <w:color w:val="000000"/>
          <w:sz w:val="24"/>
          <w:szCs w:val="24"/>
        </w:rPr>
        <w:t>除铁器绕组采用真空浸漆工艺处理，需有效地防潮、防尘，具有优良的绝缘和耐腐蚀性能（冷态绝缘电阻≥10ΜΩ，热态绝缘电阻≥10ΜΩ，现场实测），能够适应各种恶劣环境需要。传动部分应转动灵活，运转平稳。</w:t>
      </w:r>
    </w:p>
    <w:p w14:paraId="1DFE991B">
      <w:pPr>
        <w:numPr>
          <w:ilvl w:val="0"/>
          <w:numId w:val="0"/>
        </w:numPr>
        <w:tabs>
          <w:tab w:val="left" w:pos="540"/>
        </w:tabs>
        <w:adjustRightInd/>
        <w:snapToGrid w:val="0"/>
        <w:spacing w:line="480" w:lineRule="exact"/>
        <w:ind w:leftChars="0"/>
        <w:jc w:val="both"/>
        <w:textAlignment w:val="auto"/>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lang w:val="en-US" w:eastAsia="zh-CN"/>
        </w:rPr>
        <w:t>4.4.17</w:t>
      </w:r>
      <w:r>
        <w:rPr>
          <w:rFonts w:hint="eastAsia" w:ascii="微软雅黑" w:hAnsi="微软雅黑" w:eastAsia="微软雅黑" w:cs="微软雅黑"/>
          <w:color w:val="000000"/>
          <w:sz w:val="24"/>
          <w:szCs w:val="24"/>
        </w:rPr>
        <w:t>除铁器悬挂设施如吊环、吊耳等必须安全牢固，且应满足长期使用的要求。</w:t>
      </w:r>
    </w:p>
    <w:p w14:paraId="4F69D6E2">
      <w:pPr>
        <w:numPr>
          <w:ilvl w:val="0"/>
          <w:numId w:val="0"/>
        </w:numPr>
        <w:tabs>
          <w:tab w:val="left" w:pos="709"/>
        </w:tabs>
        <w:spacing w:line="480" w:lineRule="exact"/>
        <w:ind w:leftChars="0"/>
        <w:jc w:val="both"/>
        <w:rPr>
          <w:rFonts w:hint="eastAsia" w:ascii="微软雅黑" w:hAnsi="微软雅黑" w:eastAsia="微软雅黑" w:cs="微软雅黑"/>
          <w:b/>
          <w:bCs/>
          <w:color w:val="000000"/>
          <w:sz w:val="24"/>
          <w:szCs w:val="24"/>
        </w:rPr>
      </w:pPr>
      <w:r>
        <w:rPr>
          <w:rFonts w:hint="eastAsia" w:ascii="微软雅黑" w:hAnsi="微软雅黑" w:eastAsia="微软雅黑" w:cs="微软雅黑"/>
          <w:b/>
          <w:bCs/>
          <w:color w:val="000000"/>
          <w:sz w:val="24"/>
          <w:szCs w:val="24"/>
          <w:lang w:val="en-US" w:eastAsia="zh-CN"/>
        </w:rPr>
        <w:t>4.5</w:t>
      </w:r>
      <w:r>
        <w:rPr>
          <w:rFonts w:hint="eastAsia" w:ascii="微软雅黑" w:hAnsi="微软雅黑" w:eastAsia="微软雅黑" w:cs="微软雅黑"/>
          <w:b/>
          <w:bCs/>
          <w:color w:val="000000"/>
          <w:sz w:val="24"/>
          <w:szCs w:val="24"/>
        </w:rPr>
        <w:t>电气</w:t>
      </w:r>
      <w:r>
        <w:rPr>
          <w:rFonts w:hint="eastAsia" w:ascii="微软雅黑" w:hAnsi="微软雅黑" w:eastAsia="微软雅黑" w:cs="微软雅黑"/>
          <w:b/>
          <w:bCs/>
          <w:sz w:val="24"/>
          <w:szCs w:val="24"/>
        </w:rPr>
        <w:t>设备及控制要求</w:t>
      </w:r>
    </w:p>
    <w:p w14:paraId="12F66627">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13" w:name="_Toc3375"/>
      <w:r>
        <w:rPr>
          <w:rFonts w:hint="eastAsia" w:ascii="微软雅黑" w:hAnsi="微软雅黑" w:eastAsia="微软雅黑" w:cs="微软雅黑"/>
          <w:color w:val="000000"/>
          <w:sz w:val="24"/>
          <w:szCs w:val="24"/>
          <w:lang w:val="en-US" w:eastAsia="zh-CN"/>
        </w:rPr>
        <w:t>4.5.1除铁器应配供厚2mm的304不锈钢双层密封的电气控制箱，配供的就地电气控制箱应设计合理，完全可靠，具有防尘、防水、防腐性能，柜体完好，防护等级不低于IP65。使用寿命不低于15年。箱体设密封门，显示、操作设备安装于箱柜内的安装板或内门上，制作和安装工艺精致美观。当控制箱柜内并存强电动力回路、强电控制回路和弱电控制回路时，供方应将各种回路关联的控制器件、端子排和连接导线分隔布置，采取防止强电回路干扰弱电信号回路的措施，利于运行、检修安全；</w:t>
      </w:r>
      <w:bookmarkEnd w:id="13"/>
    </w:p>
    <w:p w14:paraId="14ADD3F3">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14" w:name="_Toc6213"/>
      <w:r>
        <w:rPr>
          <w:rFonts w:hint="eastAsia" w:ascii="微软雅黑" w:hAnsi="微软雅黑" w:eastAsia="微软雅黑" w:cs="微软雅黑"/>
          <w:color w:val="000000"/>
          <w:sz w:val="24"/>
          <w:szCs w:val="24"/>
          <w:lang w:val="en-US" w:eastAsia="zh-CN"/>
        </w:rPr>
        <w:t>4.5.2所有的电气元器件绝缘良好，并能在低温、潮湿、尘多的环境中正常工作。设备应有可靠的接地设施，并在接地处有明显的接地符号。</w:t>
      </w:r>
      <w:bookmarkEnd w:id="14"/>
    </w:p>
    <w:p w14:paraId="73045FF6">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15" w:name="_Toc23491"/>
      <w:r>
        <w:rPr>
          <w:rFonts w:hint="eastAsia" w:ascii="微软雅黑" w:hAnsi="微软雅黑" w:eastAsia="微软雅黑" w:cs="微软雅黑"/>
          <w:color w:val="000000"/>
          <w:sz w:val="24"/>
          <w:szCs w:val="24"/>
          <w:lang w:val="en-US" w:eastAsia="zh-CN"/>
        </w:rPr>
        <w:t>4.5.3除铁器绝缘等级为F级，按B级温升考核，电控柜外壳等级为IP65；</w:t>
      </w:r>
      <w:bookmarkEnd w:id="15"/>
    </w:p>
    <w:p w14:paraId="74D9643D">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rPr>
      </w:pPr>
      <w:bookmarkStart w:id="16" w:name="_Toc14648"/>
      <w:r>
        <w:rPr>
          <w:rFonts w:hint="eastAsia" w:ascii="微软雅黑" w:hAnsi="微软雅黑" w:eastAsia="微软雅黑" w:cs="微软雅黑"/>
          <w:color w:val="000000"/>
          <w:sz w:val="24"/>
          <w:szCs w:val="24"/>
          <w:lang w:val="en-US" w:eastAsia="zh-CN"/>
        </w:rPr>
        <w:t>4.5.4采用380V系统电压供电，额定频率50Hz。</w:t>
      </w:r>
      <w:bookmarkEnd w:id="16"/>
    </w:p>
    <w:p w14:paraId="1E6FA837">
      <w:pPr>
        <w:numPr>
          <w:ilvl w:val="0"/>
          <w:numId w:val="0"/>
        </w:numPr>
        <w:tabs>
          <w:tab w:val="left" w:pos="709"/>
        </w:tabs>
        <w:spacing w:line="480" w:lineRule="exact"/>
        <w:ind w:leftChars="0"/>
        <w:jc w:val="both"/>
        <w:rPr>
          <w:rFonts w:hint="eastAsia" w:ascii="微软雅黑" w:hAnsi="微软雅黑" w:eastAsia="微软雅黑" w:cs="微软雅黑"/>
          <w:b/>
          <w:bCs/>
          <w:color w:val="000000"/>
          <w:sz w:val="24"/>
          <w:szCs w:val="24"/>
        </w:rPr>
      </w:pPr>
      <w:r>
        <w:rPr>
          <w:rFonts w:hint="eastAsia" w:ascii="微软雅黑" w:hAnsi="微软雅黑" w:eastAsia="微软雅黑" w:cs="微软雅黑"/>
          <w:b/>
          <w:bCs/>
          <w:color w:val="000000"/>
          <w:sz w:val="24"/>
          <w:szCs w:val="24"/>
          <w:lang w:val="en-US" w:eastAsia="zh-CN"/>
        </w:rPr>
        <w:t>4.6</w:t>
      </w:r>
      <w:r>
        <w:rPr>
          <w:rFonts w:hint="eastAsia" w:ascii="微软雅黑" w:hAnsi="微软雅黑" w:eastAsia="微软雅黑" w:cs="微软雅黑"/>
          <w:b/>
          <w:bCs/>
          <w:color w:val="000000"/>
          <w:sz w:val="24"/>
          <w:szCs w:val="24"/>
        </w:rPr>
        <w:t>噪声控制</w:t>
      </w:r>
    </w:p>
    <w:p w14:paraId="76BE0078">
      <w:pPr>
        <w:adjustRightInd/>
        <w:snapToGrid w:val="0"/>
        <w:spacing w:line="480" w:lineRule="exact"/>
        <w:ind w:firstLine="460" w:firstLineChars="192"/>
        <w:jc w:val="both"/>
        <w:textAlignment w:val="auto"/>
        <w:rPr>
          <w:rFonts w:hint="eastAsia" w:ascii="微软雅黑" w:hAnsi="微软雅黑" w:eastAsia="微软雅黑" w:cs="微软雅黑"/>
        </w:rPr>
      </w:pPr>
      <w:r>
        <w:rPr>
          <w:rFonts w:hint="eastAsia" w:ascii="微软雅黑" w:hAnsi="微软雅黑" w:eastAsia="微软雅黑" w:cs="微软雅黑"/>
          <w:color w:val="000000"/>
          <w:sz w:val="24"/>
          <w:szCs w:val="24"/>
        </w:rPr>
        <w:t>设备噪声不大于</w:t>
      </w:r>
      <w:r>
        <w:rPr>
          <w:rFonts w:hint="eastAsia" w:ascii="微软雅黑" w:hAnsi="微软雅黑" w:eastAsia="微软雅黑" w:cs="微软雅黑"/>
          <w:sz w:val="24"/>
          <w:szCs w:val="24"/>
        </w:rPr>
        <w:t>85d</w:t>
      </w:r>
      <w:r>
        <w:rPr>
          <w:rFonts w:hint="eastAsia" w:ascii="微软雅黑" w:hAnsi="微软雅黑" w:eastAsia="微软雅黑" w:cs="微软雅黑"/>
          <w:color w:val="000000"/>
          <w:sz w:val="24"/>
          <w:szCs w:val="24"/>
        </w:rPr>
        <w:t>B（A声级，离设备1m处测量）。</w:t>
      </w:r>
    </w:p>
    <w:p w14:paraId="1E6B7AEB">
      <w:pPr>
        <w:pStyle w:val="5"/>
        <w:keepNext w:val="0"/>
        <w:keepLines w:val="0"/>
        <w:numPr>
          <w:ilvl w:val="0"/>
          <w:numId w:val="0"/>
        </w:numPr>
        <w:tabs>
          <w:tab w:val="left" w:pos="-2520"/>
          <w:tab w:val="left" w:pos="709"/>
        </w:tabs>
        <w:spacing w:before="0" w:after="0" w:line="480" w:lineRule="exact"/>
        <w:ind w:leftChars="0"/>
        <w:jc w:val="both"/>
        <w:rPr>
          <w:rFonts w:hint="default" w:ascii="微软雅黑" w:hAnsi="微软雅黑" w:eastAsia="微软雅黑" w:cs="微软雅黑"/>
          <w:b/>
          <w:bCs/>
          <w:color w:val="000000"/>
          <w:kern w:val="2"/>
          <w:sz w:val="24"/>
          <w:szCs w:val="24"/>
          <w:lang w:val="en-US" w:eastAsia="zh-CN" w:bidi="ar-SA"/>
        </w:rPr>
      </w:pPr>
      <w:bookmarkStart w:id="17" w:name="_Toc341700052"/>
      <w:bookmarkStart w:id="18" w:name="_Toc341774185"/>
      <w:bookmarkStart w:id="19" w:name="_Toc116926652"/>
      <w:bookmarkStart w:id="20" w:name="_Toc122529401"/>
      <w:bookmarkStart w:id="21" w:name="_Toc335143849"/>
      <w:bookmarkStart w:id="22" w:name="_Toc425500099"/>
      <w:bookmarkStart w:id="23" w:name="_Toc364239870"/>
      <w:bookmarkStart w:id="24" w:name="_Toc64105416"/>
      <w:bookmarkStart w:id="25" w:name="_Toc341700001"/>
      <w:bookmarkStart w:id="26" w:name="_Toc425500042"/>
      <w:bookmarkStart w:id="27" w:name="_Toc342317347"/>
      <w:bookmarkStart w:id="28" w:name="_Toc54771274"/>
      <w:r>
        <w:rPr>
          <w:rFonts w:hint="eastAsia" w:ascii="微软雅黑" w:hAnsi="微软雅黑" w:eastAsia="微软雅黑" w:cs="微软雅黑"/>
          <w:b/>
          <w:bCs/>
          <w:color w:val="000000"/>
          <w:kern w:val="2"/>
          <w:sz w:val="24"/>
          <w:szCs w:val="24"/>
          <w:lang w:val="en-US" w:eastAsia="zh-CN" w:bidi="ar-SA"/>
        </w:rPr>
        <w:t xml:space="preserve">4.7   </w:t>
      </w:r>
      <w:bookmarkEnd w:id="17"/>
      <w:bookmarkEnd w:id="18"/>
      <w:bookmarkEnd w:id="19"/>
      <w:bookmarkEnd w:id="20"/>
      <w:bookmarkEnd w:id="21"/>
      <w:bookmarkEnd w:id="22"/>
      <w:bookmarkEnd w:id="23"/>
      <w:bookmarkEnd w:id="24"/>
      <w:bookmarkEnd w:id="25"/>
      <w:bookmarkEnd w:id="26"/>
      <w:bookmarkEnd w:id="27"/>
      <w:bookmarkEnd w:id="28"/>
      <w:r>
        <w:rPr>
          <w:rFonts w:hint="eastAsia" w:ascii="微软雅黑" w:hAnsi="微软雅黑" w:eastAsia="微软雅黑" w:cs="微软雅黑"/>
          <w:b/>
          <w:bCs/>
          <w:color w:val="000000"/>
          <w:kern w:val="2"/>
          <w:sz w:val="24"/>
          <w:szCs w:val="24"/>
          <w:lang w:val="en-US" w:eastAsia="zh-CN" w:bidi="ar-SA"/>
        </w:rPr>
        <w:t>实验、检测要求</w:t>
      </w:r>
    </w:p>
    <w:p w14:paraId="61B221EB">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29" w:name="_Toc30423"/>
      <w:bookmarkStart w:id="30" w:name="_Toc54771276"/>
      <w:bookmarkStart w:id="31" w:name="_Toc364239872"/>
      <w:bookmarkStart w:id="32" w:name="_Toc54597764"/>
      <w:bookmarkStart w:id="33" w:name="_Toc425500044"/>
      <w:bookmarkStart w:id="34" w:name="_Toc342317349"/>
      <w:bookmarkStart w:id="35" w:name="_Toc341774187"/>
      <w:bookmarkStart w:id="36" w:name="_Toc64105418"/>
      <w:bookmarkStart w:id="37" w:name="_Toc116926654"/>
      <w:bookmarkStart w:id="38" w:name="_Toc341700003"/>
      <w:bookmarkStart w:id="39" w:name="_Toc425500101"/>
      <w:bookmarkStart w:id="40" w:name="_Toc54597676"/>
      <w:bookmarkStart w:id="41" w:name="_Toc335143851"/>
      <w:bookmarkStart w:id="42" w:name="_Toc122529403"/>
      <w:bookmarkStart w:id="43" w:name="_Toc341700054"/>
      <w:r>
        <w:rPr>
          <w:rFonts w:hint="eastAsia" w:ascii="微软雅黑" w:hAnsi="微软雅黑" w:eastAsia="微软雅黑" w:cs="微软雅黑"/>
          <w:color w:val="000000"/>
          <w:sz w:val="24"/>
          <w:szCs w:val="24"/>
          <w:lang w:val="en-US" w:eastAsia="zh-CN"/>
        </w:rPr>
        <w:t>4.7.1磁感应强度用精度不低于2.5级的特斯拉计，在距离为额定悬挂高度处对应磁极几何中心位置在热态下测量。</w:t>
      </w:r>
      <w:bookmarkEnd w:id="29"/>
    </w:p>
    <w:p w14:paraId="585E609D">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44" w:name="_Toc22237"/>
      <w:r>
        <w:rPr>
          <w:rFonts w:hint="eastAsia" w:ascii="微软雅黑" w:hAnsi="微软雅黑" w:eastAsia="微软雅黑" w:cs="微软雅黑"/>
          <w:color w:val="000000"/>
          <w:sz w:val="24"/>
          <w:szCs w:val="24"/>
          <w:lang w:val="en-US" w:eastAsia="zh-CN"/>
        </w:rPr>
        <w:t>4.7.2励磁功率用精度等级不低于1.0级的直流电压表在冷态下测量。</w:t>
      </w:r>
      <w:bookmarkEnd w:id="44"/>
    </w:p>
    <w:p w14:paraId="53692BDA">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45" w:name="_Toc4584"/>
      <w:r>
        <w:rPr>
          <w:rFonts w:hint="eastAsia" w:ascii="微软雅黑" w:hAnsi="微软雅黑" w:eastAsia="微软雅黑" w:cs="微软雅黑"/>
          <w:color w:val="000000"/>
          <w:sz w:val="24"/>
          <w:szCs w:val="24"/>
          <w:lang w:val="en-US" w:eastAsia="zh-CN"/>
        </w:rPr>
        <w:t>4.7.3用500V绝缘电阻表检测除铁器绕组对机体的绝缘电阻，所用仪表精度等级不应低于1.50。</w:t>
      </w:r>
      <w:bookmarkEnd w:id="45"/>
    </w:p>
    <w:p w14:paraId="4E94F2A7">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46" w:name="_Toc4895"/>
      <w:r>
        <w:rPr>
          <w:rFonts w:hint="eastAsia" w:ascii="微软雅黑" w:hAnsi="微软雅黑" w:eastAsia="微软雅黑" w:cs="微软雅黑"/>
          <w:color w:val="000000"/>
          <w:sz w:val="24"/>
          <w:szCs w:val="24"/>
          <w:lang w:val="en-US" w:eastAsia="zh-CN"/>
        </w:rPr>
        <w:t>4.7.4用5000V高压试验变压器检测除铁器绕组对机体的绝缘，应保证在规定条件下承受50Hz交流试验电压1min而无击穿或闪络现象，所用仪表精度等级不应低于0.5。</w:t>
      </w:r>
      <w:bookmarkEnd w:id="46"/>
    </w:p>
    <w:p w14:paraId="10967D95">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47" w:name="_Toc28002"/>
      <w:r>
        <w:rPr>
          <w:rFonts w:hint="eastAsia" w:ascii="微软雅黑" w:hAnsi="微软雅黑" w:eastAsia="微软雅黑" w:cs="微软雅黑"/>
          <w:color w:val="000000"/>
          <w:sz w:val="24"/>
          <w:szCs w:val="24"/>
          <w:lang w:val="en-US" w:eastAsia="zh-CN"/>
        </w:rPr>
        <w:t>4.7.5用线路故障测试器检测除铁器绕组的极限温升，所用仪表精度等级不应低于0.5。</w:t>
      </w:r>
      <w:bookmarkEnd w:id="47"/>
    </w:p>
    <w:p w14:paraId="33EC7C59">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48" w:name="_Toc9748"/>
      <w:r>
        <w:rPr>
          <w:rFonts w:hint="eastAsia" w:ascii="微软雅黑" w:hAnsi="微软雅黑" w:eastAsia="微软雅黑" w:cs="微软雅黑"/>
          <w:color w:val="000000"/>
          <w:sz w:val="24"/>
          <w:szCs w:val="24"/>
          <w:lang w:val="en-US" w:eastAsia="zh-CN"/>
        </w:rPr>
        <w:t>4.7.6进行不少于2h的空运转试验，检测除铁器各个运转部位是否转动灵活，减速器应运转平稳，各密封处不应漏油，其油温升不应超过40℃。</w:t>
      </w:r>
      <w:bookmarkEnd w:id="48"/>
    </w:p>
    <w:p w14:paraId="1D435136">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49" w:name="_Toc16890"/>
      <w:r>
        <w:rPr>
          <w:rFonts w:hint="eastAsia" w:ascii="微软雅黑" w:hAnsi="微软雅黑" w:eastAsia="微软雅黑" w:cs="微软雅黑"/>
          <w:color w:val="000000"/>
          <w:sz w:val="24"/>
          <w:szCs w:val="24"/>
          <w:lang w:val="en-US" w:eastAsia="zh-CN"/>
        </w:rPr>
        <w:t>4.7.7吸铁能力用GB/T 5783中规定的M16x50的螺栓按规定的高度在热态下进行检测。</w:t>
      </w:r>
      <w:bookmarkEnd w:id="49"/>
    </w:p>
    <w:p w14:paraId="67D98907">
      <w:pPr>
        <w:numPr>
          <w:ilvl w:val="0"/>
          <w:numId w:val="0"/>
        </w:numPr>
        <w:tabs>
          <w:tab w:val="left" w:pos="540"/>
        </w:tabs>
        <w:adjustRightInd/>
        <w:snapToGrid w:val="0"/>
        <w:spacing w:line="480" w:lineRule="exact"/>
        <w:jc w:val="both"/>
        <w:textAlignment w:val="auto"/>
        <w:rPr>
          <w:rFonts w:hint="eastAsia" w:ascii="微软雅黑" w:hAnsi="微软雅黑" w:eastAsia="微软雅黑" w:cs="微软雅黑"/>
          <w:color w:val="000000"/>
          <w:sz w:val="24"/>
          <w:szCs w:val="24"/>
          <w:lang w:val="en-US" w:eastAsia="zh-CN"/>
        </w:rPr>
      </w:pPr>
      <w:bookmarkStart w:id="50" w:name="_Toc28052"/>
      <w:r>
        <w:rPr>
          <w:rFonts w:hint="eastAsia" w:ascii="微软雅黑" w:hAnsi="微软雅黑" w:eastAsia="微软雅黑" w:cs="微软雅黑"/>
          <w:color w:val="000000"/>
          <w:sz w:val="24"/>
          <w:szCs w:val="24"/>
          <w:lang w:val="en-US" w:eastAsia="zh-CN"/>
        </w:rPr>
        <w:t>4.7.8噪声按GB/T 3768的规定检验。</w:t>
      </w:r>
      <w:bookmarkEnd w:id="50"/>
    </w:p>
    <w:p w14:paraId="5D72D3A4">
      <w:pPr>
        <w:pStyle w:val="5"/>
        <w:keepNext w:val="0"/>
        <w:keepLines w:val="0"/>
        <w:numPr>
          <w:ilvl w:val="0"/>
          <w:numId w:val="0"/>
        </w:numPr>
        <w:tabs>
          <w:tab w:val="left" w:pos="-2520"/>
          <w:tab w:val="left" w:pos="709"/>
        </w:tabs>
        <w:spacing w:before="0" w:after="0" w:line="480" w:lineRule="exact"/>
        <w:ind w:leftChars="0"/>
        <w:jc w:val="both"/>
        <w:rPr>
          <w:rFonts w:hint="eastAsia" w:ascii="微软雅黑" w:hAnsi="微软雅黑" w:eastAsia="微软雅黑" w:cs="微软雅黑"/>
          <w:bCs w:val="0"/>
          <w:color w:val="auto"/>
          <w:kern w:val="0"/>
          <w:sz w:val="24"/>
          <w:szCs w:val="24"/>
        </w:rPr>
      </w:pPr>
      <w:r>
        <w:rPr>
          <w:rFonts w:hint="eastAsia" w:ascii="微软雅黑" w:hAnsi="微软雅黑" w:eastAsia="微软雅黑" w:cs="微软雅黑"/>
          <w:bCs w:val="0"/>
          <w:color w:val="auto"/>
          <w:kern w:val="0"/>
          <w:sz w:val="24"/>
          <w:szCs w:val="24"/>
          <w:lang w:val="en-US" w:eastAsia="zh-CN"/>
        </w:rPr>
        <w:t>4.8</w:t>
      </w:r>
      <w:r>
        <w:rPr>
          <w:rFonts w:hint="eastAsia" w:ascii="微软雅黑" w:hAnsi="微软雅黑" w:eastAsia="微软雅黑" w:cs="微软雅黑"/>
          <w:bCs w:val="0"/>
          <w:color w:val="auto"/>
          <w:kern w:val="0"/>
          <w:sz w:val="24"/>
          <w:szCs w:val="24"/>
        </w:rPr>
        <w:t>设备规范</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471D82F">
      <w:pPr>
        <w:numPr>
          <w:ilvl w:val="0"/>
          <w:numId w:val="0"/>
        </w:numPr>
        <w:tabs>
          <w:tab w:val="left" w:pos="720"/>
        </w:tabs>
        <w:spacing w:line="360" w:lineRule="auto"/>
        <w:ind w:leftChars="0"/>
        <w:jc w:val="both"/>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4.8.1盘式</w:t>
      </w:r>
      <w:r>
        <w:rPr>
          <w:rFonts w:hint="eastAsia" w:ascii="微软雅黑" w:hAnsi="微软雅黑" w:eastAsia="微软雅黑" w:cs="微软雅黑"/>
          <w:color w:val="000000"/>
          <w:sz w:val="24"/>
          <w:szCs w:val="24"/>
        </w:rPr>
        <w:t>电磁除铁器</w:t>
      </w:r>
      <w:r>
        <w:rPr>
          <w:rFonts w:hint="eastAsia" w:ascii="微软雅黑" w:hAnsi="微软雅黑" w:eastAsia="微软雅黑" w:cs="微软雅黑"/>
          <w:color w:val="000000"/>
          <w:sz w:val="24"/>
          <w:szCs w:val="24"/>
          <w:lang w:val="en-US" w:eastAsia="zh-CN"/>
        </w:rPr>
        <w:t>参数</w:t>
      </w:r>
    </w:p>
    <w:tbl>
      <w:tblPr>
        <w:tblStyle w:val="25"/>
        <w:tblW w:w="5150"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12"/>
        <w:gridCol w:w="1642"/>
        <w:gridCol w:w="2796"/>
      </w:tblGrid>
      <w:tr w14:paraId="11E13C9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78" w:hRule="atLeast"/>
          <w:jc w:val="center"/>
        </w:trPr>
        <w:tc>
          <w:tcPr>
            <w:tcW w:w="712" w:type="dxa"/>
            <w:noWrap w:val="0"/>
            <w:vAlign w:val="center"/>
          </w:tcPr>
          <w:p w14:paraId="0A6CE144">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b/>
                <w:bCs w:val="0"/>
                <w:color w:val="auto"/>
                <w:sz w:val="21"/>
                <w:szCs w:val="21"/>
              </w:rPr>
            </w:pPr>
            <w:r>
              <w:rPr>
                <w:rFonts w:hint="eastAsia" w:ascii="微软雅黑" w:hAnsi="微软雅黑" w:eastAsia="微软雅黑" w:cs="微软雅黑"/>
                <w:b/>
                <w:bCs w:val="0"/>
                <w:color w:val="auto"/>
                <w:sz w:val="21"/>
                <w:szCs w:val="21"/>
              </w:rPr>
              <w:t>序号</w:t>
            </w:r>
          </w:p>
        </w:tc>
        <w:tc>
          <w:tcPr>
            <w:tcW w:w="1642" w:type="dxa"/>
            <w:noWrap w:val="0"/>
            <w:vAlign w:val="center"/>
          </w:tcPr>
          <w:p w14:paraId="46BF539B">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b/>
                <w:bCs w:val="0"/>
                <w:color w:val="auto"/>
                <w:sz w:val="21"/>
                <w:szCs w:val="21"/>
                <w:highlight w:val="none"/>
                <w:lang w:val="en-US" w:eastAsia="zh-CN"/>
              </w:rPr>
            </w:pPr>
            <w:r>
              <w:rPr>
                <w:rFonts w:hint="eastAsia" w:ascii="微软雅黑" w:hAnsi="微软雅黑" w:eastAsia="微软雅黑" w:cs="微软雅黑"/>
                <w:b/>
                <w:bCs w:val="0"/>
                <w:color w:val="auto"/>
                <w:sz w:val="21"/>
                <w:szCs w:val="21"/>
                <w:highlight w:val="none"/>
                <w:lang w:val="en-US" w:eastAsia="zh-CN"/>
              </w:rPr>
              <w:t>项目</w:t>
            </w:r>
          </w:p>
        </w:tc>
        <w:tc>
          <w:tcPr>
            <w:tcW w:w="2796" w:type="dxa"/>
            <w:noWrap w:val="0"/>
            <w:vAlign w:val="center"/>
          </w:tcPr>
          <w:p w14:paraId="2B5ABAD2">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b/>
                <w:bCs w:val="0"/>
                <w:color w:val="auto"/>
                <w:sz w:val="21"/>
                <w:szCs w:val="21"/>
                <w:lang w:eastAsia="zh-CN"/>
              </w:rPr>
            </w:pPr>
            <w:r>
              <w:rPr>
                <w:rFonts w:hint="eastAsia" w:ascii="微软雅黑" w:hAnsi="微软雅黑" w:eastAsia="微软雅黑" w:cs="微软雅黑"/>
                <w:b/>
                <w:bCs w:val="0"/>
                <w:color w:val="auto"/>
                <w:sz w:val="21"/>
                <w:szCs w:val="21"/>
                <w:lang w:eastAsia="zh-CN"/>
              </w:rPr>
              <w:t>参数值</w:t>
            </w:r>
          </w:p>
        </w:tc>
      </w:tr>
      <w:tr w14:paraId="6790410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2398A66C">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1</w:t>
            </w:r>
          </w:p>
        </w:tc>
        <w:tc>
          <w:tcPr>
            <w:tcW w:w="1642" w:type="dxa"/>
            <w:noWrap w:val="0"/>
            <w:vAlign w:val="center"/>
          </w:tcPr>
          <w:p w14:paraId="31D5811B">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设备名称</w:t>
            </w:r>
          </w:p>
        </w:tc>
        <w:tc>
          <w:tcPr>
            <w:tcW w:w="2796" w:type="dxa"/>
            <w:noWrap w:val="0"/>
            <w:vAlign w:val="center"/>
          </w:tcPr>
          <w:p w14:paraId="78E85146">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盘式电磁除铁器</w:t>
            </w:r>
          </w:p>
        </w:tc>
      </w:tr>
      <w:tr w14:paraId="0E51903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783B1CE7">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2</w:t>
            </w:r>
          </w:p>
        </w:tc>
        <w:tc>
          <w:tcPr>
            <w:tcW w:w="1642" w:type="dxa"/>
            <w:noWrap w:val="0"/>
            <w:vAlign w:val="center"/>
          </w:tcPr>
          <w:p w14:paraId="2E8C0C22">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lang w:val="en-US" w:eastAsia="zh-CN"/>
              </w:rPr>
              <w:t>规格</w:t>
            </w:r>
            <w:r>
              <w:rPr>
                <w:rFonts w:hint="eastAsia" w:ascii="微软雅黑" w:hAnsi="微软雅黑" w:eastAsia="微软雅黑" w:cs="微软雅黑"/>
                <w:color w:val="auto"/>
                <w:sz w:val="21"/>
                <w:szCs w:val="21"/>
                <w:highlight w:val="none"/>
              </w:rPr>
              <w:t>型号</w:t>
            </w:r>
          </w:p>
        </w:tc>
        <w:tc>
          <w:tcPr>
            <w:tcW w:w="2796" w:type="dxa"/>
            <w:noWrap w:val="0"/>
            <w:vAlign w:val="center"/>
          </w:tcPr>
          <w:p w14:paraId="1C98C7A6">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RCDB-12T2</w:t>
            </w:r>
          </w:p>
        </w:tc>
      </w:tr>
      <w:tr w14:paraId="7A32649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65659CB2">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3</w:t>
            </w:r>
          </w:p>
        </w:tc>
        <w:tc>
          <w:tcPr>
            <w:tcW w:w="1642" w:type="dxa"/>
            <w:noWrap w:val="0"/>
            <w:vAlign w:val="center"/>
          </w:tcPr>
          <w:p w14:paraId="3CD31F5A">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eastAsia="zh-CN"/>
              </w:rPr>
            </w:pPr>
            <w:r>
              <w:rPr>
                <w:rFonts w:hint="eastAsia" w:ascii="微软雅黑" w:hAnsi="微软雅黑" w:eastAsia="微软雅黑" w:cs="微软雅黑"/>
                <w:color w:val="auto"/>
                <w:sz w:val="21"/>
                <w:szCs w:val="21"/>
                <w:highlight w:val="none"/>
                <w:lang w:val="en-US" w:eastAsia="zh-CN"/>
              </w:rPr>
              <w:t>适用</w:t>
            </w:r>
            <w:r>
              <w:rPr>
                <w:rFonts w:hint="eastAsia" w:ascii="微软雅黑" w:hAnsi="微软雅黑" w:eastAsia="微软雅黑" w:cs="微软雅黑"/>
                <w:color w:val="auto"/>
                <w:sz w:val="21"/>
                <w:szCs w:val="21"/>
                <w:highlight w:val="none"/>
                <w:lang w:eastAsia="zh-CN"/>
              </w:rPr>
              <w:t>带宽</w:t>
            </w:r>
          </w:p>
        </w:tc>
        <w:tc>
          <w:tcPr>
            <w:tcW w:w="2796" w:type="dxa"/>
            <w:noWrap w:val="0"/>
            <w:vAlign w:val="center"/>
          </w:tcPr>
          <w:p w14:paraId="357D2C5F">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1000</w:t>
            </w:r>
            <w:r>
              <w:rPr>
                <w:rFonts w:hint="eastAsia" w:ascii="微软雅黑" w:hAnsi="微软雅黑" w:eastAsia="微软雅黑" w:cs="微软雅黑"/>
                <w:color w:val="auto"/>
                <w:sz w:val="21"/>
                <w:szCs w:val="21"/>
                <w:highlight w:val="none"/>
              </w:rPr>
              <w:t>mm</w:t>
            </w:r>
          </w:p>
        </w:tc>
      </w:tr>
      <w:tr w14:paraId="5A52D0D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1D533119">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rPr>
              <w:t>4</w:t>
            </w:r>
          </w:p>
        </w:tc>
        <w:tc>
          <w:tcPr>
            <w:tcW w:w="1642" w:type="dxa"/>
            <w:noWrap w:val="0"/>
            <w:vAlign w:val="center"/>
          </w:tcPr>
          <w:p w14:paraId="23367E38">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额定悬挂高度</w:t>
            </w:r>
          </w:p>
        </w:tc>
        <w:tc>
          <w:tcPr>
            <w:tcW w:w="2796" w:type="dxa"/>
            <w:noWrap w:val="0"/>
            <w:vAlign w:val="center"/>
          </w:tcPr>
          <w:p w14:paraId="2DD16EAE">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350mm</w:t>
            </w:r>
          </w:p>
        </w:tc>
      </w:tr>
      <w:tr w14:paraId="14307A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33A32D5E">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lang w:val="en-US" w:eastAsia="zh-CN"/>
              </w:rPr>
            </w:pPr>
            <w:r>
              <w:rPr>
                <w:rFonts w:hint="eastAsia" w:ascii="微软雅黑" w:hAnsi="微软雅黑" w:eastAsia="微软雅黑" w:cs="微软雅黑"/>
                <w:color w:val="auto"/>
                <w:sz w:val="21"/>
                <w:szCs w:val="21"/>
                <w:lang w:val="en-US" w:eastAsia="zh-CN"/>
              </w:rPr>
              <w:t>5</w:t>
            </w:r>
          </w:p>
        </w:tc>
        <w:tc>
          <w:tcPr>
            <w:tcW w:w="1642" w:type="dxa"/>
            <w:shd w:val="clear" w:color="auto" w:fill="auto"/>
            <w:noWrap w:val="0"/>
            <w:vAlign w:val="center"/>
          </w:tcPr>
          <w:p w14:paraId="7CF6B636">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kern w:val="2"/>
                <w:sz w:val="21"/>
                <w:szCs w:val="21"/>
                <w:highlight w:val="none"/>
                <w:lang w:val="en-US" w:eastAsia="zh-CN" w:bidi="ar-SA"/>
              </w:rPr>
            </w:pPr>
            <w:r>
              <w:rPr>
                <w:rFonts w:hint="eastAsia" w:ascii="微软雅黑" w:hAnsi="微软雅黑" w:eastAsia="微软雅黑" w:cs="微软雅黑"/>
                <w:color w:val="auto"/>
                <w:sz w:val="21"/>
                <w:szCs w:val="21"/>
                <w:highlight w:val="none"/>
              </w:rPr>
              <w:t>励磁功率</w:t>
            </w:r>
          </w:p>
        </w:tc>
        <w:tc>
          <w:tcPr>
            <w:tcW w:w="2796" w:type="dxa"/>
            <w:shd w:val="clear" w:color="auto" w:fill="auto"/>
            <w:noWrap w:val="0"/>
            <w:vAlign w:val="center"/>
          </w:tcPr>
          <w:p w14:paraId="1BB1F17B">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kern w:val="2"/>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13.5</w:t>
            </w:r>
            <w:r>
              <w:rPr>
                <w:rFonts w:hint="eastAsia" w:ascii="微软雅黑" w:hAnsi="微软雅黑" w:eastAsia="微软雅黑" w:cs="微软雅黑"/>
                <w:color w:val="auto"/>
                <w:sz w:val="21"/>
                <w:szCs w:val="21"/>
                <w:highlight w:val="none"/>
              </w:rPr>
              <w:t>kW</w:t>
            </w:r>
          </w:p>
        </w:tc>
      </w:tr>
      <w:tr w14:paraId="00C5957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3F6EFA33">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rPr>
            </w:pPr>
            <w:r>
              <w:rPr>
                <w:rFonts w:hint="eastAsia" w:ascii="微软雅黑" w:hAnsi="微软雅黑" w:eastAsia="微软雅黑" w:cs="微软雅黑"/>
                <w:color w:val="auto"/>
                <w:sz w:val="21"/>
                <w:szCs w:val="21"/>
                <w:lang w:val="en-US" w:eastAsia="zh-CN"/>
              </w:rPr>
              <w:t>6</w:t>
            </w:r>
          </w:p>
        </w:tc>
        <w:tc>
          <w:tcPr>
            <w:tcW w:w="1642" w:type="dxa"/>
            <w:noWrap w:val="0"/>
            <w:vAlign w:val="center"/>
          </w:tcPr>
          <w:p w14:paraId="4E621F0E">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磁场强度</w:t>
            </w:r>
          </w:p>
        </w:tc>
        <w:tc>
          <w:tcPr>
            <w:tcW w:w="2796" w:type="dxa"/>
            <w:noWrap w:val="0"/>
            <w:vAlign w:val="center"/>
          </w:tcPr>
          <w:p w14:paraId="7C4F9D2F">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≥120</w:t>
            </w:r>
            <w:r>
              <w:rPr>
                <w:rFonts w:hint="eastAsia" w:ascii="微软雅黑" w:hAnsi="微软雅黑" w:eastAsia="微软雅黑" w:cs="微软雅黑"/>
                <w:color w:val="auto"/>
                <w:sz w:val="21"/>
                <w:szCs w:val="21"/>
                <w:highlight w:val="none"/>
              </w:rPr>
              <w:t>mT</w:t>
            </w:r>
          </w:p>
        </w:tc>
      </w:tr>
      <w:tr w14:paraId="6C25E4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38A8DBBB">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kern w:val="2"/>
                <w:sz w:val="21"/>
                <w:szCs w:val="21"/>
                <w:lang w:val="en-US" w:eastAsia="zh-CN" w:bidi="ar-SA"/>
              </w:rPr>
            </w:pPr>
            <w:r>
              <w:rPr>
                <w:rFonts w:hint="eastAsia" w:ascii="微软雅黑" w:hAnsi="微软雅黑" w:eastAsia="微软雅黑" w:cs="微软雅黑"/>
                <w:color w:val="auto"/>
                <w:sz w:val="21"/>
                <w:szCs w:val="21"/>
                <w:highlight w:val="none"/>
                <w:lang w:val="en-US" w:eastAsia="zh-CN"/>
              </w:rPr>
              <w:t>7</w:t>
            </w:r>
          </w:p>
        </w:tc>
        <w:tc>
          <w:tcPr>
            <w:tcW w:w="1642" w:type="dxa"/>
            <w:noWrap w:val="0"/>
            <w:vAlign w:val="center"/>
          </w:tcPr>
          <w:p w14:paraId="09F3127D">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eastAsia="zh-CN"/>
              </w:rPr>
            </w:pPr>
            <w:r>
              <w:rPr>
                <w:rFonts w:hint="eastAsia" w:ascii="微软雅黑" w:hAnsi="微软雅黑" w:eastAsia="微软雅黑" w:cs="微软雅黑"/>
                <w:color w:val="auto"/>
                <w:sz w:val="21"/>
                <w:szCs w:val="21"/>
                <w:highlight w:val="none"/>
                <w:lang w:val="en-US" w:eastAsia="zh-CN"/>
              </w:rPr>
              <w:t>电动小车</w:t>
            </w:r>
            <w:r>
              <w:rPr>
                <w:rFonts w:hint="eastAsia" w:ascii="微软雅黑" w:hAnsi="微软雅黑" w:eastAsia="微软雅黑" w:cs="微软雅黑"/>
                <w:color w:val="auto"/>
                <w:sz w:val="21"/>
                <w:szCs w:val="21"/>
                <w:highlight w:val="none"/>
                <w:lang w:eastAsia="zh-CN"/>
              </w:rPr>
              <w:t>功率</w:t>
            </w:r>
          </w:p>
        </w:tc>
        <w:tc>
          <w:tcPr>
            <w:tcW w:w="2796" w:type="dxa"/>
            <w:noWrap w:val="0"/>
            <w:vAlign w:val="center"/>
          </w:tcPr>
          <w:p w14:paraId="7B774B2C">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微软雅黑" w:hAnsi="微软雅黑" w:eastAsia="微软雅黑" w:cs="微软雅黑"/>
                <w:color w:val="auto"/>
                <w:sz w:val="21"/>
                <w:szCs w:val="21"/>
                <w:highlight w:val="none"/>
                <w:lang w:val="en-US" w:eastAsia="zh-CN" w:bidi="ar-SA"/>
              </w:rPr>
            </w:pPr>
            <w:r>
              <w:rPr>
                <w:rFonts w:hint="eastAsia" w:ascii="微软雅黑" w:hAnsi="微软雅黑" w:eastAsia="微软雅黑" w:cs="微软雅黑"/>
                <w:color w:val="auto"/>
                <w:sz w:val="21"/>
                <w:szCs w:val="21"/>
                <w:highlight w:val="none"/>
                <w:lang w:val="en-US" w:eastAsia="zh-CN"/>
              </w:rPr>
              <w:t>1.5kW</w:t>
            </w:r>
          </w:p>
        </w:tc>
      </w:tr>
      <w:tr w14:paraId="75EC87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41985BA2">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kern w:val="2"/>
                <w:sz w:val="21"/>
                <w:szCs w:val="21"/>
                <w:lang w:val="en-US" w:eastAsia="zh-CN" w:bidi="ar-SA"/>
              </w:rPr>
            </w:pPr>
            <w:r>
              <w:rPr>
                <w:rFonts w:hint="eastAsia" w:ascii="微软雅黑" w:hAnsi="微软雅黑" w:eastAsia="微软雅黑" w:cs="微软雅黑"/>
                <w:color w:val="auto"/>
                <w:sz w:val="21"/>
                <w:szCs w:val="21"/>
                <w:highlight w:val="none"/>
                <w:lang w:val="en-US" w:eastAsia="zh-CN"/>
              </w:rPr>
              <w:t>8</w:t>
            </w:r>
          </w:p>
        </w:tc>
        <w:tc>
          <w:tcPr>
            <w:tcW w:w="1642" w:type="dxa"/>
            <w:noWrap w:val="0"/>
            <w:vAlign w:val="center"/>
          </w:tcPr>
          <w:p w14:paraId="18AEFDA5">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冷却方式</w:t>
            </w:r>
          </w:p>
        </w:tc>
        <w:tc>
          <w:tcPr>
            <w:tcW w:w="2796" w:type="dxa"/>
            <w:noWrap w:val="0"/>
            <w:vAlign w:val="center"/>
          </w:tcPr>
          <w:p w14:paraId="0A4FF74B">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eastAsia="zh-CN"/>
              </w:rPr>
            </w:pPr>
            <w:r>
              <w:rPr>
                <w:rFonts w:hint="eastAsia" w:ascii="微软雅黑" w:hAnsi="微软雅黑" w:eastAsia="微软雅黑" w:cs="微软雅黑"/>
                <w:color w:val="auto"/>
                <w:sz w:val="21"/>
                <w:szCs w:val="21"/>
                <w:highlight w:val="none"/>
                <w:lang w:eastAsia="zh-CN"/>
              </w:rPr>
              <w:t>自然冷却</w:t>
            </w:r>
          </w:p>
        </w:tc>
      </w:tr>
      <w:tr w14:paraId="153C403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9" w:hRule="atLeast"/>
          <w:jc w:val="center"/>
        </w:trPr>
        <w:tc>
          <w:tcPr>
            <w:tcW w:w="712" w:type="dxa"/>
            <w:noWrap w:val="0"/>
            <w:vAlign w:val="center"/>
          </w:tcPr>
          <w:p w14:paraId="79CC3F79">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kern w:val="2"/>
                <w:sz w:val="21"/>
                <w:szCs w:val="21"/>
                <w:lang w:val="en-US" w:eastAsia="zh-CN" w:bidi="ar-SA"/>
              </w:rPr>
              <w:t>9</w:t>
            </w:r>
          </w:p>
        </w:tc>
        <w:tc>
          <w:tcPr>
            <w:tcW w:w="1642" w:type="dxa"/>
            <w:noWrap w:val="0"/>
            <w:vAlign w:val="center"/>
          </w:tcPr>
          <w:p w14:paraId="1729B38F">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卸铁方式</w:t>
            </w:r>
          </w:p>
        </w:tc>
        <w:tc>
          <w:tcPr>
            <w:tcW w:w="2796" w:type="dxa"/>
            <w:noWrap w:val="0"/>
            <w:vAlign w:val="center"/>
          </w:tcPr>
          <w:p w14:paraId="62A548E1">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断电卸铁</w:t>
            </w:r>
          </w:p>
        </w:tc>
      </w:tr>
      <w:tr w14:paraId="66FDB34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3" w:hRule="atLeast"/>
          <w:jc w:val="center"/>
        </w:trPr>
        <w:tc>
          <w:tcPr>
            <w:tcW w:w="712" w:type="dxa"/>
            <w:noWrap w:val="0"/>
            <w:vAlign w:val="center"/>
          </w:tcPr>
          <w:p w14:paraId="112C7B20">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default" w:ascii="微软雅黑" w:hAnsi="微软雅黑" w:eastAsia="微软雅黑" w:cs="微软雅黑"/>
                <w:color w:val="auto"/>
                <w:kern w:val="2"/>
                <w:sz w:val="21"/>
                <w:szCs w:val="21"/>
                <w:lang w:val="en-US" w:eastAsia="zh-CN" w:bidi="ar-SA"/>
              </w:rPr>
            </w:pPr>
            <w:r>
              <w:rPr>
                <w:rFonts w:hint="eastAsia" w:ascii="微软雅黑" w:hAnsi="微软雅黑" w:eastAsia="微软雅黑" w:cs="微软雅黑"/>
                <w:color w:val="auto"/>
                <w:kern w:val="2"/>
                <w:sz w:val="21"/>
                <w:szCs w:val="21"/>
                <w:lang w:val="en-US" w:eastAsia="zh-CN" w:bidi="ar-SA"/>
              </w:rPr>
              <w:t>10</w:t>
            </w:r>
          </w:p>
        </w:tc>
        <w:tc>
          <w:tcPr>
            <w:tcW w:w="1642" w:type="dxa"/>
            <w:noWrap w:val="0"/>
            <w:vAlign w:val="center"/>
          </w:tcPr>
          <w:p w14:paraId="72B58FA6">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整机重量</w:t>
            </w:r>
          </w:p>
        </w:tc>
        <w:tc>
          <w:tcPr>
            <w:tcW w:w="2796" w:type="dxa"/>
            <w:noWrap w:val="0"/>
            <w:vAlign w:val="center"/>
          </w:tcPr>
          <w:p w14:paraId="16C2A5D0">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2200kg</w:t>
            </w:r>
          </w:p>
        </w:tc>
      </w:tr>
      <w:tr w14:paraId="52FA499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noWrap w:val="0"/>
            <w:vAlign w:val="center"/>
          </w:tcPr>
          <w:p w14:paraId="2AE4BED8">
            <w:pPr>
              <w:pStyle w:val="42"/>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default" w:ascii="微软雅黑" w:hAnsi="微软雅黑" w:eastAsia="微软雅黑" w:cs="微软雅黑"/>
                <w:color w:val="auto"/>
                <w:kern w:val="2"/>
                <w:sz w:val="21"/>
                <w:szCs w:val="21"/>
                <w:lang w:val="en-US" w:eastAsia="zh-CN" w:bidi="ar-SA"/>
              </w:rPr>
            </w:pPr>
            <w:r>
              <w:rPr>
                <w:rFonts w:hint="eastAsia" w:ascii="微软雅黑" w:hAnsi="微软雅黑" w:eastAsia="微软雅黑" w:cs="微软雅黑"/>
                <w:color w:val="auto"/>
                <w:sz w:val="21"/>
                <w:szCs w:val="21"/>
                <w:lang w:val="en-US" w:eastAsia="zh-CN"/>
              </w:rPr>
              <w:t>11</w:t>
            </w:r>
          </w:p>
        </w:tc>
        <w:tc>
          <w:tcPr>
            <w:tcW w:w="1642" w:type="dxa"/>
            <w:noWrap w:val="0"/>
            <w:vAlign w:val="center"/>
          </w:tcPr>
          <w:p w14:paraId="29B02C02">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rPr>
            </w:pPr>
            <w:r>
              <w:rPr>
                <w:rFonts w:hint="eastAsia" w:ascii="微软雅黑" w:hAnsi="微软雅黑" w:eastAsia="微软雅黑" w:cs="微软雅黑"/>
                <w:color w:val="auto"/>
                <w:sz w:val="21"/>
                <w:szCs w:val="21"/>
                <w:highlight w:val="none"/>
              </w:rPr>
              <w:t>外型尺寸</w:t>
            </w:r>
          </w:p>
        </w:tc>
        <w:tc>
          <w:tcPr>
            <w:tcW w:w="2796" w:type="dxa"/>
            <w:noWrap w:val="0"/>
            <w:vAlign w:val="center"/>
          </w:tcPr>
          <w:p w14:paraId="625D8CC1">
            <w:pPr>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0" w:firstLineChars="0"/>
              <w:jc w:val="center"/>
              <w:textAlignment w:val="auto"/>
              <w:rPr>
                <w:rFonts w:hint="eastAsia" w:ascii="微软雅黑" w:hAnsi="微软雅黑" w:eastAsia="微软雅黑" w:cs="微软雅黑"/>
                <w:color w:val="auto"/>
                <w:sz w:val="21"/>
                <w:szCs w:val="21"/>
                <w:highlight w:val="none"/>
                <w:lang w:val="en-US" w:eastAsia="zh-CN"/>
              </w:rPr>
            </w:pPr>
            <w:r>
              <w:rPr>
                <w:rFonts w:hint="eastAsia" w:ascii="微软雅黑" w:hAnsi="微软雅黑" w:eastAsia="微软雅黑" w:cs="微软雅黑"/>
                <w:color w:val="auto"/>
                <w:sz w:val="21"/>
                <w:szCs w:val="21"/>
                <w:highlight w:val="none"/>
                <w:lang w:val="en-US" w:eastAsia="zh-CN"/>
              </w:rPr>
              <w:t>≥1500*450mm</w:t>
            </w:r>
          </w:p>
        </w:tc>
      </w:tr>
    </w:tbl>
    <w:p w14:paraId="5BA53F03">
      <w:pPr>
        <w:pStyle w:val="15"/>
        <w:numPr>
          <w:ilvl w:val="0"/>
          <w:numId w:val="0"/>
        </w:numPr>
        <w:spacing w:before="120" w:line="500" w:lineRule="exact"/>
        <w:ind w:leftChars="0"/>
        <w:outlineLvl w:val="0"/>
        <w:rPr>
          <w:rFonts w:hint="eastAsia" w:ascii="微软雅黑" w:hAnsi="微软雅黑" w:eastAsia="微软雅黑" w:cs="微软雅黑"/>
          <w:b/>
          <w:sz w:val="28"/>
          <w:szCs w:val="28"/>
        </w:rPr>
      </w:pPr>
      <w:r>
        <w:rPr>
          <w:rFonts w:hint="eastAsia" w:ascii="微软雅黑" w:hAnsi="微软雅黑" w:eastAsia="微软雅黑" w:cs="微软雅黑"/>
          <w:b/>
          <w:sz w:val="28"/>
          <w:szCs w:val="28"/>
          <w:lang w:val="en-US" w:eastAsia="zh-CN"/>
        </w:rPr>
        <w:t>五、</w:t>
      </w:r>
      <w:r>
        <w:rPr>
          <w:rFonts w:hint="eastAsia" w:ascii="微软雅黑" w:hAnsi="微软雅黑" w:eastAsia="微软雅黑" w:cs="微软雅黑"/>
          <w:b/>
          <w:sz w:val="28"/>
          <w:szCs w:val="28"/>
        </w:rPr>
        <w:t>质量保证</w:t>
      </w:r>
    </w:p>
    <w:p w14:paraId="0AE49A76">
      <w:pPr>
        <w:pStyle w:val="15"/>
        <w:numPr>
          <w:ilvl w:val="1"/>
          <w:numId w:val="2"/>
        </w:numPr>
        <w:spacing w:line="500" w:lineRule="exact"/>
        <w:outlineLvl w:val="0"/>
        <w:rPr>
          <w:rFonts w:hint="eastAsia" w:ascii="微软雅黑" w:hAnsi="微软雅黑" w:eastAsia="微软雅黑" w:cs="微软雅黑"/>
          <w:b/>
          <w:sz w:val="24"/>
          <w:szCs w:val="24"/>
        </w:rPr>
      </w:pPr>
      <w:bookmarkStart w:id="51" w:name="_Toc279434636"/>
      <w:r>
        <w:rPr>
          <w:rFonts w:hint="eastAsia" w:ascii="微软雅黑" w:hAnsi="微软雅黑" w:eastAsia="微软雅黑" w:cs="微软雅黑"/>
          <w:b/>
          <w:sz w:val="24"/>
          <w:szCs w:val="24"/>
        </w:rPr>
        <w:t xml:space="preserve"> 总述</w:t>
      </w:r>
      <w:bookmarkEnd w:id="51"/>
    </w:p>
    <w:p w14:paraId="3606AB8B">
      <w:pPr>
        <w:spacing w:line="50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投标人应负责对其工作范围内的设计、设备和材料的采购、制造、试验、及服务实行质量控制，用质量控制计划检查各项是否符合合同的要求和规定。</w:t>
      </w:r>
    </w:p>
    <w:p w14:paraId="249FBAEE">
      <w:pPr>
        <w:pStyle w:val="15"/>
        <w:spacing w:line="500" w:lineRule="exact"/>
        <w:ind w:firstLine="480" w:firstLineChars="20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除铁器</w:t>
      </w:r>
      <w:r>
        <w:rPr>
          <w:rFonts w:hint="eastAsia" w:ascii="微软雅黑" w:hAnsi="微软雅黑" w:eastAsia="微软雅黑" w:cs="微软雅黑"/>
          <w:sz w:val="24"/>
          <w:szCs w:val="24"/>
        </w:rPr>
        <w:t>应设计为在各种工作条件下确保安全地运行，易于控制、调整、安装和维护。</w:t>
      </w:r>
    </w:p>
    <w:p w14:paraId="101E3831">
      <w:pPr>
        <w:pStyle w:val="15"/>
        <w:spacing w:line="500" w:lineRule="exact"/>
        <w:ind w:firstLine="480" w:firstLineChars="200"/>
        <w:outlineLvl w:val="0"/>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投标人应在合同签订后提供合同设备的设计﹑制造﹑检验/试验﹑装配﹑安装﹑调试﹑试运﹑验收﹑运行和维护等规程、规范和标准清单2份，供招标人确认。对于国外规范和标准（正本）投标人至少应提供一套置放于合同现场，便于投标人和招标人共同查阅，工程验收移交后仍归投标人所有</w:t>
      </w:r>
      <w:r>
        <w:rPr>
          <w:rFonts w:hint="eastAsia" w:ascii="微软雅黑" w:hAnsi="微软雅黑" w:eastAsia="微软雅黑" w:cs="微软雅黑"/>
          <w:sz w:val="24"/>
          <w:szCs w:val="24"/>
          <w:lang w:eastAsia="zh-CN"/>
        </w:rPr>
        <w:t>。</w:t>
      </w:r>
    </w:p>
    <w:p w14:paraId="628F8E6D">
      <w:pPr>
        <w:pStyle w:val="15"/>
        <w:numPr>
          <w:ilvl w:val="1"/>
          <w:numId w:val="2"/>
        </w:numPr>
        <w:spacing w:line="500" w:lineRule="exact"/>
        <w:outlineLvl w:val="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 xml:space="preserve"> 规范和标准</w:t>
      </w:r>
    </w:p>
    <w:p w14:paraId="6B55898F">
      <w:pPr>
        <w:spacing w:line="360" w:lineRule="auto"/>
        <w:ind w:firstLine="480" w:firstLineChars="200"/>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除铁器的设计、制造、包装、运输、安装、验收应符合下列标准、规范和有关的中国国家标准（GB）的要求：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8"/>
        <w:gridCol w:w="2143"/>
      </w:tblGrid>
      <w:tr w14:paraId="1B38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14A6151F">
            <w:pPr>
              <w:spacing w:line="360" w:lineRule="auto"/>
              <w:ind w:firstLine="28" w:firstLineChars="12"/>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悬挂式电磁除铁器</w:t>
            </w:r>
          </w:p>
        </w:tc>
        <w:tc>
          <w:tcPr>
            <w:tcW w:w="2143" w:type="dxa"/>
            <w:vAlign w:val="center"/>
          </w:tcPr>
          <w:p w14:paraId="37DD3858">
            <w:pPr>
              <w:spacing w:line="360" w:lineRule="auto"/>
              <w:ind w:firstLine="19" w:firstLineChars="8"/>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JBT7689</w:t>
            </w:r>
          </w:p>
        </w:tc>
      </w:tr>
      <w:tr w14:paraId="2158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573C1A29">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气焊、焊条电弧焊、气体保护焊和高能束焊的推荐坡口</w:t>
            </w:r>
          </w:p>
        </w:tc>
        <w:tc>
          <w:tcPr>
            <w:tcW w:w="2143" w:type="dxa"/>
            <w:vAlign w:val="center"/>
          </w:tcPr>
          <w:p w14:paraId="5843ED44">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GB985.1</w:t>
            </w:r>
          </w:p>
        </w:tc>
      </w:tr>
      <w:tr w14:paraId="0CF3A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6D84E457">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埋弧焊的推荐坡口</w:t>
            </w:r>
          </w:p>
        </w:tc>
        <w:tc>
          <w:tcPr>
            <w:tcW w:w="2143" w:type="dxa"/>
            <w:vAlign w:val="center"/>
          </w:tcPr>
          <w:p w14:paraId="7306E076">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GB985.2</w:t>
            </w:r>
          </w:p>
        </w:tc>
      </w:tr>
      <w:tr w14:paraId="1E19A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360D6110">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形状和位置公差 未注公差值</w:t>
            </w:r>
          </w:p>
        </w:tc>
        <w:tc>
          <w:tcPr>
            <w:tcW w:w="2143" w:type="dxa"/>
            <w:vAlign w:val="center"/>
          </w:tcPr>
          <w:p w14:paraId="12700504">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GB1184</w:t>
            </w:r>
          </w:p>
        </w:tc>
      </w:tr>
      <w:tr w14:paraId="68C0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645B8456">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一般公差 未注公差的线性和角度尺寸的公差</w:t>
            </w:r>
          </w:p>
        </w:tc>
        <w:tc>
          <w:tcPr>
            <w:tcW w:w="2143" w:type="dxa"/>
            <w:vAlign w:val="center"/>
          </w:tcPr>
          <w:p w14:paraId="3C942FA0">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GB/T1804</w:t>
            </w:r>
          </w:p>
        </w:tc>
      </w:tr>
      <w:tr w14:paraId="3EF0B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7438FADA">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焊缝无损检测 射线检测</w:t>
            </w:r>
            <w:r>
              <w:rPr>
                <w:rFonts w:hint="eastAsia" w:ascii="微软雅黑" w:hAnsi="微软雅黑" w:eastAsia="微软雅黑" w:cs="微软雅黑"/>
                <w:sz w:val="24"/>
              </w:rPr>
              <w:tab/>
            </w:r>
          </w:p>
        </w:tc>
        <w:tc>
          <w:tcPr>
            <w:tcW w:w="2143" w:type="dxa"/>
            <w:vAlign w:val="center"/>
          </w:tcPr>
          <w:p w14:paraId="764FF2D8">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GB3323</w:t>
            </w:r>
          </w:p>
        </w:tc>
      </w:tr>
      <w:tr w14:paraId="5E57F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610DDA35">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焊缝无损检测 超声检测 技术、检测等级和评定</w:t>
            </w:r>
          </w:p>
        </w:tc>
        <w:tc>
          <w:tcPr>
            <w:tcW w:w="2143" w:type="dxa"/>
            <w:vAlign w:val="center"/>
          </w:tcPr>
          <w:p w14:paraId="40643304">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GB11345</w:t>
            </w:r>
          </w:p>
        </w:tc>
      </w:tr>
      <w:tr w14:paraId="3003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1036B14E">
            <w:pPr>
              <w:pStyle w:val="56"/>
              <w:spacing w:line="360" w:lineRule="auto"/>
              <w:ind w:firstLine="0" w:firstLineChars="0"/>
              <w:jc w:val="both"/>
              <w:rPr>
                <w:rFonts w:hint="eastAsia" w:ascii="微软雅黑" w:hAnsi="微软雅黑" w:eastAsia="微软雅黑" w:cs="微软雅黑"/>
              </w:rPr>
            </w:pPr>
            <w:r>
              <w:rPr>
                <w:rFonts w:hint="eastAsia" w:ascii="微软雅黑" w:hAnsi="微软雅黑" w:eastAsia="微软雅黑" w:cs="微软雅黑"/>
              </w:rPr>
              <w:t xml:space="preserve">铸件 射线照相检测 </w:t>
            </w:r>
          </w:p>
        </w:tc>
        <w:tc>
          <w:tcPr>
            <w:tcW w:w="2143" w:type="dxa"/>
            <w:vAlign w:val="center"/>
          </w:tcPr>
          <w:p w14:paraId="561EC6CC">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rPr>
              <w:t>GB/T 5677</w:t>
            </w:r>
          </w:p>
        </w:tc>
      </w:tr>
      <w:tr w14:paraId="19C04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37BF6CDA">
            <w:pPr>
              <w:pStyle w:val="56"/>
              <w:spacing w:line="360" w:lineRule="auto"/>
              <w:ind w:firstLine="0" w:firstLineChars="0"/>
              <w:jc w:val="both"/>
              <w:rPr>
                <w:rFonts w:hint="eastAsia" w:ascii="微软雅黑" w:hAnsi="微软雅黑" w:eastAsia="微软雅黑" w:cs="微软雅黑"/>
              </w:rPr>
            </w:pPr>
            <w:r>
              <w:rPr>
                <w:rFonts w:hint="eastAsia" w:ascii="微软雅黑" w:hAnsi="微软雅黑" w:eastAsia="微软雅黑" w:cs="微软雅黑"/>
              </w:rPr>
              <w:t>钢锻材超声检测方法</w:t>
            </w:r>
            <w:r>
              <w:rPr>
                <w:rFonts w:hint="eastAsia" w:ascii="微软雅黑" w:hAnsi="微软雅黑" w:eastAsia="微软雅黑" w:cs="微软雅黑"/>
              </w:rPr>
              <w:tab/>
            </w:r>
          </w:p>
        </w:tc>
        <w:tc>
          <w:tcPr>
            <w:tcW w:w="2143" w:type="dxa"/>
            <w:vAlign w:val="center"/>
          </w:tcPr>
          <w:p w14:paraId="3FA0C4B8">
            <w:pPr>
              <w:spacing w:line="360" w:lineRule="auto"/>
              <w:ind w:firstLine="31" w:firstLineChars="13"/>
              <w:jc w:val="both"/>
              <w:rPr>
                <w:rFonts w:hint="eastAsia" w:ascii="微软雅黑" w:hAnsi="微软雅黑" w:eastAsia="微软雅黑" w:cs="微软雅黑"/>
                <w:sz w:val="24"/>
              </w:rPr>
            </w:pPr>
            <w:r>
              <w:rPr>
                <w:rFonts w:hint="eastAsia" w:ascii="微软雅黑" w:hAnsi="微软雅黑" w:eastAsia="微软雅黑" w:cs="微软雅黑"/>
                <w:sz w:val="24"/>
              </w:rPr>
              <w:t>GB6402</w:t>
            </w:r>
          </w:p>
        </w:tc>
      </w:tr>
      <w:tr w14:paraId="4A1DB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28A8DC9E">
            <w:pPr>
              <w:pStyle w:val="56"/>
              <w:spacing w:after="120" w:afterLines="50" w:line="240" w:lineRule="auto"/>
              <w:ind w:firstLine="0" w:firstLineChars="0"/>
              <w:jc w:val="left"/>
              <w:rPr>
                <w:rFonts w:hint="eastAsia" w:ascii="微软雅黑" w:hAnsi="微软雅黑" w:eastAsia="微软雅黑" w:cs="微软雅黑"/>
              </w:rPr>
            </w:pPr>
            <w:r>
              <w:rPr>
                <w:rFonts w:hint="eastAsia" w:ascii="微软雅黑" w:hAnsi="微软雅黑" w:eastAsia="微软雅黑" w:cs="微软雅黑"/>
              </w:rPr>
              <w:t>声学声压法测定噪声源声功率级反射面上方近似自由场的工程法</w:t>
            </w:r>
          </w:p>
        </w:tc>
        <w:tc>
          <w:tcPr>
            <w:tcW w:w="2143" w:type="dxa"/>
          </w:tcPr>
          <w:p w14:paraId="06B8922F">
            <w:pPr>
              <w:spacing w:line="360" w:lineRule="auto"/>
              <w:ind w:firstLine="31" w:firstLineChars="13"/>
              <w:jc w:val="both"/>
              <w:rPr>
                <w:rFonts w:hint="eastAsia" w:ascii="微软雅黑" w:hAnsi="微软雅黑" w:eastAsia="微软雅黑" w:cs="微软雅黑"/>
                <w:sz w:val="24"/>
              </w:rPr>
            </w:pPr>
            <w:r>
              <w:rPr>
                <w:rFonts w:hint="eastAsia" w:ascii="微软雅黑" w:hAnsi="微软雅黑" w:eastAsia="微软雅黑" w:cs="微软雅黑"/>
                <w:sz w:val="24"/>
              </w:rPr>
              <w:t>GB/T 3767</w:t>
            </w:r>
          </w:p>
        </w:tc>
      </w:tr>
      <w:tr w14:paraId="5DD01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237C5567">
            <w:pPr>
              <w:spacing w:line="360" w:lineRule="auto"/>
              <w:jc w:val="both"/>
              <w:rPr>
                <w:rFonts w:hint="eastAsia" w:ascii="微软雅黑" w:hAnsi="微软雅黑" w:eastAsia="微软雅黑" w:cs="微软雅黑"/>
                <w:sz w:val="24"/>
              </w:rPr>
            </w:pPr>
            <w:r>
              <w:rPr>
                <w:rFonts w:hint="eastAsia" w:ascii="微软雅黑" w:hAnsi="微软雅黑" w:eastAsia="微软雅黑" w:cs="微软雅黑"/>
                <w:sz w:val="24"/>
              </w:rPr>
              <w:t>涂覆涂料前钢材表面处理 表面清洁度的目视评定</w:t>
            </w:r>
          </w:p>
        </w:tc>
        <w:tc>
          <w:tcPr>
            <w:tcW w:w="2143" w:type="dxa"/>
            <w:vAlign w:val="center"/>
          </w:tcPr>
          <w:p w14:paraId="0C28969C">
            <w:pPr>
              <w:spacing w:line="360" w:lineRule="auto"/>
              <w:ind w:firstLine="31" w:firstLineChars="13"/>
              <w:jc w:val="both"/>
              <w:rPr>
                <w:rFonts w:hint="eastAsia" w:ascii="微软雅黑" w:hAnsi="微软雅黑" w:eastAsia="微软雅黑" w:cs="微软雅黑"/>
                <w:sz w:val="24"/>
              </w:rPr>
            </w:pPr>
            <w:r>
              <w:rPr>
                <w:rFonts w:hint="eastAsia" w:ascii="微软雅黑" w:hAnsi="微软雅黑" w:eastAsia="微软雅黑" w:cs="微软雅黑"/>
                <w:sz w:val="24"/>
              </w:rPr>
              <w:t>GB8923</w:t>
            </w:r>
          </w:p>
        </w:tc>
      </w:tr>
      <w:tr w14:paraId="1DC28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0FBD8EEC">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机械密封试验方法</w:t>
            </w:r>
          </w:p>
        </w:tc>
        <w:tc>
          <w:tcPr>
            <w:tcW w:w="2143" w:type="dxa"/>
            <w:vAlign w:val="center"/>
          </w:tcPr>
          <w:p w14:paraId="5BF39B2B">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GB/T14211</w:t>
            </w:r>
          </w:p>
        </w:tc>
      </w:tr>
      <w:tr w14:paraId="1D17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1DA063CD">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机械密封</w:t>
            </w:r>
          </w:p>
        </w:tc>
        <w:tc>
          <w:tcPr>
            <w:tcW w:w="2143" w:type="dxa"/>
            <w:vAlign w:val="center"/>
          </w:tcPr>
          <w:p w14:paraId="3DE64CE1">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JB4127</w:t>
            </w:r>
          </w:p>
        </w:tc>
      </w:tr>
      <w:tr w14:paraId="1AB9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00B28392">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 xml:space="preserve">机电产品包装通用技术条件       </w:t>
            </w:r>
          </w:p>
        </w:tc>
        <w:tc>
          <w:tcPr>
            <w:tcW w:w="2143" w:type="dxa"/>
            <w:vAlign w:val="center"/>
          </w:tcPr>
          <w:p w14:paraId="3556E341">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rPr>
              <w:t>GB/T 13384</w:t>
            </w:r>
          </w:p>
        </w:tc>
      </w:tr>
      <w:tr w14:paraId="3830B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70EC198F">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 xml:space="preserve">旋转电机 定额和性能       </w:t>
            </w:r>
          </w:p>
        </w:tc>
        <w:tc>
          <w:tcPr>
            <w:tcW w:w="2143" w:type="dxa"/>
            <w:vAlign w:val="center"/>
          </w:tcPr>
          <w:p w14:paraId="70BD0944">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rPr>
              <w:t>GB/T 755-2019</w:t>
            </w:r>
          </w:p>
        </w:tc>
      </w:tr>
      <w:tr w14:paraId="1939F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3ED1EFB3">
            <w:pPr>
              <w:spacing w:line="360" w:lineRule="auto"/>
              <w:jc w:val="both"/>
              <w:rPr>
                <w:rFonts w:hint="eastAsia" w:ascii="微软雅黑" w:hAnsi="微软雅黑" w:eastAsia="微软雅黑" w:cs="微软雅黑"/>
                <w:sz w:val="24"/>
              </w:rPr>
            </w:pPr>
            <w:r>
              <w:rPr>
                <w:rFonts w:hint="eastAsia" w:ascii="微软雅黑" w:hAnsi="微软雅黑" w:eastAsia="微软雅黑" w:cs="微软雅黑"/>
                <w:sz w:val="24"/>
              </w:rPr>
              <w:t>旋转电机 线端标志与旋转方向</w:t>
            </w:r>
          </w:p>
        </w:tc>
        <w:tc>
          <w:tcPr>
            <w:tcW w:w="2143" w:type="dxa"/>
            <w:vAlign w:val="center"/>
          </w:tcPr>
          <w:p w14:paraId="12B18B85">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rPr>
              <w:t>GB/T 1971-2021</w:t>
            </w:r>
          </w:p>
        </w:tc>
      </w:tr>
      <w:tr w14:paraId="5343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5BE4FA40">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电动机能效限定值及能效等级</w:t>
            </w:r>
          </w:p>
        </w:tc>
        <w:tc>
          <w:tcPr>
            <w:tcW w:w="2143" w:type="dxa"/>
            <w:vAlign w:val="center"/>
          </w:tcPr>
          <w:p w14:paraId="6D631E30">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 18613-2020</w:t>
            </w:r>
          </w:p>
        </w:tc>
      </w:tr>
      <w:tr w14:paraId="011CF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6C0C2204">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高压三相笼型异步电动机能效限定值及能效等级</w:t>
            </w:r>
          </w:p>
        </w:tc>
        <w:tc>
          <w:tcPr>
            <w:tcW w:w="2143" w:type="dxa"/>
            <w:vAlign w:val="center"/>
          </w:tcPr>
          <w:p w14:paraId="16557BD5">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 30254-2013</w:t>
            </w:r>
          </w:p>
        </w:tc>
      </w:tr>
      <w:tr w14:paraId="17F17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4F4196CF">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低压成套开关设备</w:t>
            </w:r>
            <w:r>
              <w:rPr>
                <w:rFonts w:hint="eastAsia" w:ascii="微软雅黑" w:hAnsi="微软雅黑" w:eastAsia="微软雅黑" w:cs="微软雅黑"/>
                <w:sz w:val="24"/>
              </w:rPr>
              <w:t>和控制设备</w:t>
            </w:r>
          </w:p>
        </w:tc>
        <w:tc>
          <w:tcPr>
            <w:tcW w:w="2143" w:type="dxa"/>
            <w:vAlign w:val="center"/>
          </w:tcPr>
          <w:p w14:paraId="052F02AB">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GB7251-2013</w:t>
            </w:r>
          </w:p>
        </w:tc>
      </w:tr>
      <w:tr w14:paraId="799B6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03BC6786">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rPr>
              <w:t>通用用电设备配电设计规范</w:t>
            </w:r>
          </w:p>
        </w:tc>
        <w:tc>
          <w:tcPr>
            <w:tcW w:w="2143" w:type="dxa"/>
            <w:vAlign w:val="center"/>
          </w:tcPr>
          <w:p w14:paraId="7B65D7BD">
            <w:pPr>
              <w:pStyle w:val="56"/>
              <w:spacing w:line="360" w:lineRule="auto"/>
              <w:ind w:firstLine="31" w:firstLineChars="13"/>
              <w:jc w:val="both"/>
              <w:rPr>
                <w:rFonts w:hint="eastAsia" w:ascii="微软雅黑" w:hAnsi="微软雅黑" w:eastAsia="微软雅黑" w:cs="微软雅黑"/>
              </w:rPr>
            </w:pPr>
            <w:r>
              <w:rPr>
                <w:rFonts w:hint="eastAsia" w:ascii="微软雅黑" w:hAnsi="微软雅黑" w:eastAsia="微软雅黑" w:cs="微软雅黑"/>
              </w:rPr>
              <w:t>GB50055-2011</w:t>
            </w:r>
          </w:p>
        </w:tc>
      </w:tr>
      <w:tr w14:paraId="504A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208F8C5E">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半导体变流器 通用要求和电网换向变流器</w:t>
            </w:r>
          </w:p>
        </w:tc>
        <w:tc>
          <w:tcPr>
            <w:tcW w:w="2143" w:type="dxa"/>
            <w:vAlign w:val="center"/>
          </w:tcPr>
          <w:p w14:paraId="1010932A">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w:t>
            </w:r>
            <w:r>
              <w:rPr>
                <w:rFonts w:hint="eastAsia" w:ascii="微软雅黑" w:hAnsi="微软雅黑" w:eastAsia="微软雅黑" w:cs="微软雅黑"/>
                <w:sz w:val="24"/>
              </w:rPr>
              <w:t>/T</w:t>
            </w:r>
            <w:r>
              <w:rPr>
                <w:rFonts w:hint="eastAsia" w:ascii="微软雅黑" w:hAnsi="微软雅黑" w:eastAsia="微软雅黑" w:cs="微软雅黑"/>
                <w:sz w:val="24"/>
                <w:szCs w:val="24"/>
              </w:rPr>
              <w:t xml:space="preserve"> 3859-2013</w:t>
            </w:r>
          </w:p>
        </w:tc>
      </w:tr>
      <w:tr w14:paraId="75F53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5985A646">
            <w:pPr>
              <w:spacing w:line="360" w:lineRule="auto"/>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电力装置电测量仪表装置设计规范</w:t>
            </w:r>
          </w:p>
        </w:tc>
        <w:tc>
          <w:tcPr>
            <w:tcW w:w="2143" w:type="dxa"/>
            <w:vAlign w:val="center"/>
          </w:tcPr>
          <w:p w14:paraId="6879F5CC">
            <w:pPr>
              <w:spacing w:line="360" w:lineRule="auto"/>
              <w:ind w:firstLine="31" w:firstLineChars="13"/>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GB</w:t>
            </w:r>
            <w:r>
              <w:rPr>
                <w:rFonts w:hint="eastAsia" w:ascii="微软雅黑" w:hAnsi="微软雅黑" w:eastAsia="微软雅黑" w:cs="微软雅黑"/>
                <w:sz w:val="24"/>
              </w:rPr>
              <w:t>/T</w:t>
            </w:r>
            <w:r>
              <w:rPr>
                <w:rFonts w:hint="eastAsia" w:ascii="微软雅黑" w:hAnsi="微软雅黑" w:eastAsia="微软雅黑" w:cs="微软雅黑"/>
                <w:sz w:val="24"/>
                <w:szCs w:val="24"/>
              </w:rPr>
              <w:t xml:space="preserve"> 50063-2017</w:t>
            </w:r>
          </w:p>
        </w:tc>
      </w:tr>
      <w:tr w14:paraId="02AE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8" w:type="dxa"/>
            <w:vAlign w:val="center"/>
          </w:tcPr>
          <w:p w14:paraId="04F91D5D">
            <w:pPr>
              <w:spacing w:line="36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外壳防护等级</w:t>
            </w:r>
            <w:r>
              <w:rPr>
                <w:rFonts w:hint="eastAsia" w:ascii="微软雅黑" w:hAnsi="微软雅黑" w:eastAsia="微软雅黑" w:cs="微软雅黑"/>
                <w:sz w:val="24"/>
              </w:rPr>
              <w:t>（IP代码）</w:t>
            </w:r>
          </w:p>
        </w:tc>
        <w:tc>
          <w:tcPr>
            <w:tcW w:w="2143" w:type="dxa"/>
            <w:vAlign w:val="center"/>
          </w:tcPr>
          <w:p w14:paraId="18BDB0C0">
            <w:pPr>
              <w:spacing w:line="360" w:lineRule="auto"/>
              <w:ind w:firstLine="31" w:firstLineChars="13"/>
              <w:rPr>
                <w:rFonts w:hint="eastAsia" w:ascii="微软雅黑" w:hAnsi="微软雅黑" w:eastAsia="微软雅黑" w:cs="微软雅黑"/>
                <w:sz w:val="24"/>
                <w:szCs w:val="24"/>
              </w:rPr>
            </w:pPr>
            <w:r>
              <w:rPr>
                <w:rFonts w:hint="eastAsia" w:ascii="微软雅黑" w:hAnsi="微软雅黑" w:eastAsia="微软雅黑" w:cs="微软雅黑"/>
                <w:sz w:val="24"/>
                <w:szCs w:val="24"/>
              </w:rPr>
              <w:t>GB</w:t>
            </w:r>
            <w:r>
              <w:rPr>
                <w:rFonts w:hint="eastAsia" w:ascii="微软雅黑" w:hAnsi="微软雅黑" w:eastAsia="微软雅黑" w:cs="微软雅黑"/>
                <w:sz w:val="24"/>
              </w:rPr>
              <w:t>/T</w:t>
            </w:r>
            <w:r>
              <w:rPr>
                <w:rFonts w:hint="eastAsia" w:ascii="微软雅黑" w:hAnsi="微软雅黑" w:eastAsia="微软雅黑" w:cs="微软雅黑"/>
                <w:sz w:val="24"/>
                <w:szCs w:val="24"/>
              </w:rPr>
              <w:t xml:space="preserve"> 4208-2017</w:t>
            </w:r>
          </w:p>
        </w:tc>
      </w:tr>
    </w:tbl>
    <w:p w14:paraId="354C62D6">
      <w:pPr>
        <w:spacing w:line="480" w:lineRule="exact"/>
        <w:ind w:firstLine="480" w:firstLineChars="200"/>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rPr>
        <w:t>上述标准均应为招标截止日时的最新有效版本。其它未注标准按国标、部标或行业标准制造验收。</w:t>
      </w:r>
    </w:p>
    <w:p w14:paraId="5BAD84C2">
      <w:pPr>
        <w:pStyle w:val="15"/>
        <w:numPr>
          <w:ilvl w:val="2"/>
          <w:numId w:val="2"/>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投标人应执行本技术规范书所列标准。设备在现场安装、调试过程中尚应满足电力行业有关施工及验收标准，有不一致时,按较高标准执行，并及时通告招标人。</w:t>
      </w:r>
    </w:p>
    <w:p w14:paraId="3D646986">
      <w:pPr>
        <w:pStyle w:val="15"/>
        <w:numPr>
          <w:ilvl w:val="2"/>
          <w:numId w:val="2"/>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从订货之日至投标人开始制造之日的这段时期内，招标人有权提出因规程、规范和标准发生变化而产生的补充要求，投标人应遵守这些要求，且不另增加费用。且不论招标人知道与否，投标人有责任及时书面通知招标人有关规程、规范和标准发生的变化。</w:t>
      </w:r>
    </w:p>
    <w:p w14:paraId="140BF198">
      <w:pPr>
        <w:pStyle w:val="15"/>
        <w:numPr>
          <w:ilvl w:val="1"/>
          <w:numId w:val="2"/>
        </w:numPr>
        <w:spacing w:line="480" w:lineRule="exact"/>
        <w:outlineLvl w:val="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 xml:space="preserve"> 质量保证</w:t>
      </w:r>
    </w:p>
    <w:p w14:paraId="03BB19F5">
      <w:pPr>
        <w:pStyle w:val="15"/>
        <w:numPr>
          <w:ilvl w:val="2"/>
          <w:numId w:val="2"/>
        </w:numPr>
        <w:spacing w:line="480" w:lineRule="exact"/>
        <w:ind w:left="798" w:hanging="81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投标人应提供下列设备质量保证书</w:t>
      </w:r>
    </w:p>
    <w:p w14:paraId="3D530945">
      <w:pPr>
        <w:pStyle w:val="15"/>
        <w:spacing w:line="480" w:lineRule="exact"/>
        <w:ind w:firstLine="480" w:firstLineChars="20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一、产品合格证（包括主要外购件）</w:t>
      </w:r>
    </w:p>
    <w:p w14:paraId="57BDF64A">
      <w:pPr>
        <w:pStyle w:val="15"/>
        <w:spacing w:line="480" w:lineRule="exact"/>
        <w:ind w:firstLine="480" w:firstLineChars="20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二、制造、检验记录</w:t>
      </w:r>
    </w:p>
    <w:p w14:paraId="0CD2E594">
      <w:pPr>
        <w:pStyle w:val="15"/>
        <w:spacing w:line="480" w:lineRule="exact"/>
        <w:ind w:firstLine="480" w:firstLineChars="20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三、材料合格证</w:t>
      </w:r>
    </w:p>
    <w:p w14:paraId="361CF179">
      <w:pPr>
        <w:spacing w:line="48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四、设备性能试验报告</w:t>
      </w:r>
    </w:p>
    <w:p w14:paraId="74123F96">
      <w:pPr>
        <w:spacing w:line="48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五、电气设备试验报告</w:t>
      </w:r>
    </w:p>
    <w:p w14:paraId="0BE5DBE9">
      <w:pPr>
        <w:pStyle w:val="15"/>
        <w:numPr>
          <w:ilvl w:val="2"/>
          <w:numId w:val="2"/>
        </w:numPr>
        <w:spacing w:line="480" w:lineRule="exact"/>
        <w:ind w:left="0" w:firstLine="0"/>
        <w:outlineLvl w:val="0"/>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设备寿命要求：</w:t>
      </w:r>
      <w:r>
        <w:rPr>
          <w:rFonts w:hint="eastAsia" w:ascii="微软雅黑" w:hAnsi="微软雅黑" w:eastAsia="微软雅黑" w:cs="微软雅黑"/>
          <w:sz w:val="24"/>
          <w:szCs w:val="24"/>
          <w:highlight w:val="none"/>
          <w:lang w:val="en-US" w:eastAsia="zh-CN"/>
        </w:rPr>
        <w:t>除铁器</w:t>
      </w:r>
      <w:r>
        <w:rPr>
          <w:rFonts w:hint="eastAsia" w:ascii="微软雅黑" w:hAnsi="微软雅黑" w:eastAsia="微软雅黑" w:cs="微软雅黑"/>
          <w:sz w:val="24"/>
          <w:szCs w:val="24"/>
          <w:highlight w:val="none"/>
        </w:rPr>
        <w:t>的设计寿命应为30年。大修周期为5年，小修周期为1年。产品的质保期为生产后一年。</w:t>
      </w:r>
    </w:p>
    <w:p w14:paraId="24E6CA6D">
      <w:pPr>
        <w:pStyle w:val="15"/>
        <w:numPr>
          <w:ilvl w:val="2"/>
          <w:numId w:val="2"/>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在设备投运后一年内出现产品质量问题，投标人在接到招标人通知后24h内到达现场免费修理或更换。</w:t>
      </w:r>
    </w:p>
    <w:p w14:paraId="0DE2F20C">
      <w:pPr>
        <w:pStyle w:val="10"/>
        <w:spacing w:line="480" w:lineRule="exact"/>
        <w:ind w:firstLine="0"/>
        <w:outlineLvl w:val="2"/>
        <w:rPr>
          <w:rFonts w:hint="eastAsia" w:ascii="微软雅黑" w:hAnsi="微软雅黑" w:eastAsia="微软雅黑" w:cs="微软雅黑"/>
          <w:b/>
          <w:sz w:val="24"/>
          <w:szCs w:val="24"/>
        </w:rPr>
      </w:pPr>
    </w:p>
    <w:p w14:paraId="02263165">
      <w:pPr>
        <w:pStyle w:val="15"/>
        <w:numPr>
          <w:ilvl w:val="0"/>
          <w:numId w:val="0"/>
        </w:numPr>
        <w:spacing w:before="120" w:line="480" w:lineRule="exact"/>
        <w:ind w:leftChars="0"/>
        <w:outlineLvl w:val="0"/>
        <w:rPr>
          <w:rFonts w:hint="eastAsia" w:ascii="微软雅黑" w:hAnsi="微软雅黑" w:eastAsia="微软雅黑" w:cs="微软雅黑"/>
          <w:b/>
          <w:sz w:val="28"/>
          <w:szCs w:val="28"/>
        </w:rPr>
      </w:pPr>
      <w:bookmarkStart w:id="52" w:name="_Toc94763585"/>
      <w:bookmarkStart w:id="53" w:name="_Toc94763219"/>
      <w:bookmarkStart w:id="54" w:name="_Toc87436440"/>
      <w:r>
        <w:rPr>
          <w:rFonts w:hint="eastAsia" w:ascii="微软雅黑" w:hAnsi="微软雅黑" w:eastAsia="微软雅黑" w:cs="微软雅黑"/>
          <w:b/>
          <w:sz w:val="28"/>
          <w:szCs w:val="28"/>
          <w:lang w:val="en-US" w:eastAsia="zh-CN"/>
        </w:rPr>
        <w:t>六、</w:t>
      </w:r>
      <w:r>
        <w:rPr>
          <w:rFonts w:hint="eastAsia" w:ascii="微软雅黑" w:hAnsi="微软雅黑" w:eastAsia="微软雅黑" w:cs="微软雅黑"/>
          <w:b/>
          <w:sz w:val="28"/>
          <w:szCs w:val="28"/>
        </w:rPr>
        <w:t>设计与供货界限及接口规则</w:t>
      </w:r>
    </w:p>
    <w:p w14:paraId="2B42E558">
      <w:pPr>
        <w:pStyle w:val="15"/>
        <w:numPr>
          <w:ilvl w:val="1"/>
          <w:numId w:val="3"/>
        </w:numPr>
        <w:tabs>
          <w:tab w:val="left" w:pos="408"/>
        </w:tabs>
        <w:spacing w:line="480" w:lineRule="exact"/>
        <w:outlineLvl w:val="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 xml:space="preserve"> 接口分界原则</w:t>
      </w:r>
    </w:p>
    <w:p w14:paraId="6E3C1A95">
      <w:pPr>
        <w:pStyle w:val="15"/>
        <w:tabs>
          <w:tab w:val="left" w:pos="408"/>
        </w:tabs>
        <w:spacing w:line="480" w:lineRule="exact"/>
        <w:ind w:firstLine="480" w:firstLineChars="20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由投标人供应的设备，如与不属于投标人供应范围的设备连接，则由投标人负责连接到投标人的系统和设备连接件等。由投标人供应的系统和部件之间的内部连接，由投标人负责</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由投标人供应的设备，应配套供应与其正确运行密切有关的检测和控制仪表。</w:t>
      </w:r>
    </w:p>
    <w:p w14:paraId="0555F9D2">
      <w:pPr>
        <w:pStyle w:val="15"/>
        <w:numPr>
          <w:ilvl w:val="1"/>
          <w:numId w:val="3"/>
        </w:numPr>
        <w:tabs>
          <w:tab w:val="left" w:pos="448"/>
        </w:tabs>
        <w:spacing w:line="480" w:lineRule="exact"/>
        <w:outlineLvl w:val="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供货界限</w:t>
      </w:r>
    </w:p>
    <w:p w14:paraId="520858ED">
      <w:pPr>
        <w:pStyle w:val="15"/>
        <w:tabs>
          <w:tab w:val="left" w:pos="408"/>
        </w:tabs>
        <w:spacing w:line="480" w:lineRule="exact"/>
        <w:ind w:firstLine="480" w:firstLineChars="200"/>
        <w:outlineLvl w:val="0"/>
        <w:rPr>
          <w:rFonts w:hint="eastAsia" w:ascii="微软雅黑" w:hAnsi="微软雅黑" w:eastAsia="微软雅黑" w:cs="微软雅黑"/>
          <w:sz w:val="24"/>
          <w:szCs w:val="24"/>
          <w14:textFill>
            <w14:gradFill>
              <w14:gsLst>
                <w14:gs w14:pos="51300">
                  <w14:srgbClr w14:val="FE5F4A"/>
                </w14:gs>
                <w14:gs w14:pos="0">
                  <w14:srgbClr w14:val="DF0303"/>
                </w14:gs>
                <w14:gs w14:pos="100000">
                  <w14:srgbClr w14:val="FEA06E"/>
                </w14:gs>
              </w14:gsLst>
              <w14:lin w14:ang="5400000" w14:scaled="1"/>
            </w14:gradFill>
          </w14:textFill>
        </w:rPr>
      </w:pPr>
      <w:r>
        <w:rPr>
          <w:rFonts w:hint="eastAsia" w:ascii="微软雅黑" w:hAnsi="微软雅黑" w:eastAsia="微软雅黑" w:cs="微软雅黑"/>
          <w:sz w:val="24"/>
          <w:szCs w:val="24"/>
        </w:rPr>
        <w:t>投标人应提供完整的</w:t>
      </w:r>
      <w:r>
        <w:rPr>
          <w:rFonts w:hint="eastAsia" w:ascii="微软雅黑" w:hAnsi="微软雅黑" w:eastAsia="微软雅黑" w:cs="微软雅黑"/>
          <w:sz w:val="24"/>
          <w:szCs w:val="24"/>
          <w:lang w:val="en-US" w:eastAsia="zh-CN"/>
        </w:rPr>
        <w:t>除铁器</w:t>
      </w:r>
      <w:r>
        <w:rPr>
          <w:rFonts w:hint="eastAsia" w:ascii="微软雅黑" w:hAnsi="微软雅黑" w:eastAsia="微软雅黑" w:cs="微软雅黑"/>
          <w:sz w:val="24"/>
          <w:szCs w:val="24"/>
        </w:rPr>
        <w:t>设备和材料（。下列设备、材料如果没有特别说明，</w:t>
      </w:r>
      <w:r>
        <w:rPr>
          <w:rFonts w:hint="eastAsia" w:ascii="微软雅黑" w:hAnsi="微软雅黑" w:eastAsia="微软雅黑" w:cs="微软雅黑"/>
          <w:color w:val="FF0000"/>
          <w:sz w:val="24"/>
          <w:szCs w:val="24"/>
        </w:rPr>
        <w:t>均应由投标人供货，但不限于此</w:t>
      </w:r>
      <w:r>
        <w:rPr>
          <w:rFonts w:hint="eastAsia" w:ascii="微软雅黑" w:hAnsi="微软雅黑" w:eastAsia="微软雅黑" w:cs="微软雅黑"/>
          <w:sz w:val="24"/>
          <w:szCs w:val="24"/>
          <w14:textFill>
            <w14:gradFill>
              <w14:gsLst>
                <w14:gs w14:pos="51300">
                  <w14:srgbClr w14:val="FE5F4A"/>
                </w14:gs>
                <w14:gs w14:pos="0">
                  <w14:srgbClr w14:val="DF0303"/>
                </w14:gs>
                <w14:gs w14:pos="100000">
                  <w14:srgbClr w14:val="FEA06E"/>
                </w14:gs>
              </w14:gsLst>
              <w14:lin w14:ang="5400000" w14:scaled="1"/>
            </w14:gradFill>
          </w14:textFill>
        </w:rPr>
        <w:t>：</w:t>
      </w:r>
    </w:p>
    <w:p w14:paraId="0C76BA92">
      <w:pPr>
        <w:pStyle w:val="15"/>
        <w:numPr>
          <w:ilvl w:val="2"/>
          <w:numId w:val="3"/>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除铁器整套设备</w:t>
      </w:r>
      <w:r>
        <w:rPr>
          <w:rFonts w:hint="eastAsia" w:ascii="微软雅黑" w:hAnsi="微软雅黑" w:eastAsia="微软雅黑" w:cs="微软雅黑"/>
          <w:sz w:val="24"/>
          <w:szCs w:val="24"/>
        </w:rPr>
        <w:t>，共</w:t>
      </w: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rPr>
        <w:t>套。</w:t>
      </w:r>
    </w:p>
    <w:p w14:paraId="67BED39B">
      <w:pPr>
        <w:pStyle w:val="15"/>
        <w:numPr>
          <w:ilvl w:val="2"/>
          <w:numId w:val="3"/>
        </w:numPr>
        <w:spacing w:line="480" w:lineRule="exact"/>
        <w:ind w:left="798" w:hanging="81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全部密封垫片、螺栓、螺母、铆钉等应比现场安装时实际数多5%。</w:t>
      </w:r>
    </w:p>
    <w:p w14:paraId="0ABDAF3F">
      <w:pPr>
        <w:pStyle w:val="15"/>
        <w:numPr>
          <w:ilvl w:val="2"/>
          <w:numId w:val="3"/>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备品备件：投标人应提供安装、调试、试运行阶段和质保期所需备品备件、电厂二年运行所需备品备件和必要的事故备件，并提供一份备品备件明细表。</w:t>
      </w:r>
    </w:p>
    <w:p w14:paraId="42A52303">
      <w:pPr>
        <w:pStyle w:val="15"/>
        <w:numPr>
          <w:ilvl w:val="0"/>
          <w:numId w:val="0"/>
        </w:numPr>
        <w:spacing w:before="120" w:line="480" w:lineRule="exact"/>
        <w:ind w:leftChars="0"/>
        <w:outlineLvl w:val="0"/>
        <w:rPr>
          <w:rFonts w:hint="eastAsia" w:ascii="微软雅黑" w:hAnsi="微软雅黑" w:eastAsia="微软雅黑" w:cs="微软雅黑"/>
          <w:b/>
          <w:sz w:val="28"/>
          <w:szCs w:val="28"/>
        </w:rPr>
      </w:pPr>
      <w:r>
        <w:rPr>
          <w:rFonts w:hint="eastAsia" w:ascii="微软雅黑" w:hAnsi="微软雅黑" w:eastAsia="微软雅黑" w:cs="微软雅黑"/>
          <w:b/>
          <w:sz w:val="28"/>
          <w:szCs w:val="28"/>
          <w:lang w:val="en-US" w:eastAsia="zh-CN"/>
        </w:rPr>
        <w:t>七、</w:t>
      </w:r>
      <w:r>
        <w:rPr>
          <w:rFonts w:hint="eastAsia" w:ascii="微软雅黑" w:hAnsi="微软雅黑" w:eastAsia="微软雅黑" w:cs="微软雅黑"/>
          <w:b/>
          <w:sz w:val="28"/>
          <w:szCs w:val="28"/>
        </w:rPr>
        <w:t>清洁</w:t>
      </w:r>
      <w:r>
        <w:rPr>
          <w:rFonts w:hint="eastAsia" w:ascii="微软雅黑" w:hAnsi="微软雅黑" w:eastAsia="微软雅黑" w:cs="微软雅黑"/>
          <w:b/>
          <w:sz w:val="28"/>
          <w:szCs w:val="28"/>
          <w:lang w:eastAsia="zh-CN"/>
        </w:rPr>
        <w:t>、</w:t>
      </w:r>
      <w:r>
        <w:rPr>
          <w:rFonts w:hint="eastAsia" w:ascii="微软雅黑" w:hAnsi="微软雅黑" w:eastAsia="微软雅黑" w:cs="微软雅黑"/>
          <w:b/>
          <w:sz w:val="28"/>
          <w:szCs w:val="28"/>
          <w:lang w:val="en-US" w:eastAsia="zh-CN"/>
        </w:rPr>
        <w:t>油漆、</w:t>
      </w:r>
      <w:r>
        <w:rPr>
          <w:rFonts w:hint="eastAsia" w:ascii="微软雅黑" w:hAnsi="微软雅黑" w:eastAsia="微软雅黑" w:cs="微软雅黑"/>
          <w:b/>
          <w:sz w:val="28"/>
          <w:szCs w:val="28"/>
        </w:rPr>
        <w:t>包装</w:t>
      </w:r>
      <w:r>
        <w:rPr>
          <w:rFonts w:hint="eastAsia" w:ascii="微软雅黑" w:hAnsi="微软雅黑" w:eastAsia="微软雅黑" w:cs="微软雅黑"/>
          <w:b/>
          <w:sz w:val="28"/>
          <w:szCs w:val="28"/>
          <w:lang w:eastAsia="zh-CN"/>
        </w:rPr>
        <w:t>、</w:t>
      </w:r>
      <w:r>
        <w:rPr>
          <w:rFonts w:hint="eastAsia" w:ascii="微软雅黑" w:hAnsi="微软雅黑" w:eastAsia="微软雅黑" w:cs="微软雅黑"/>
          <w:b/>
          <w:sz w:val="28"/>
          <w:szCs w:val="28"/>
        </w:rPr>
        <w:t>装卸</w:t>
      </w:r>
      <w:r>
        <w:rPr>
          <w:rFonts w:hint="eastAsia" w:ascii="微软雅黑" w:hAnsi="微软雅黑" w:eastAsia="微软雅黑" w:cs="微软雅黑"/>
          <w:b/>
          <w:sz w:val="28"/>
          <w:szCs w:val="28"/>
          <w:lang w:eastAsia="zh-CN"/>
        </w:rPr>
        <w:t>、</w:t>
      </w:r>
      <w:r>
        <w:rPr>
          <w:rFonts w:hint="eastAsia" w:ascii="微软雅黑" w:hAnsi="微软雅黑" w:eastAsia="微软雅黑" w:cs="微软雅黑"/>
          <w:b/>
          <w:bCs w:val="0"/>
          <w:sz w:val="24"/>
          <w:szCs w:val="24"/>
          <w:lang w:eastAsia="zh-CN"/>
        </w:rPr>
        <w:t>、</w:t>
      </w:r>
      <w:r>
        <w:rPr>
          <w:rFonts w:hint="eastAsia" w:ascii="微软雅黑" w:hAnsi="微软雅黑" w:eastAsia="微软雅黑" w:cs="微软雅黑"/>
          <w:b/>
          <w:bCs w:val="0"/>
          <w:sz w:val="24"/>
          <w:szCs w:val="24"/>
        </w:rPr>
        <w:t>运输</w:t>
      </w:r>
      <w:r>
        <w:rPr>
          <w:rFonts w:hint="eastAsia" w:ascii="微软雅黑" w:hAnsi="微软雅黑" w:eastAsia="微软雅黑" w:cs="微软雅黑"/>
          <w:b/>
          <w:bCs w:val="0"/>
          <w:sz w:val="24"/>
          <w:szCs w:val="24"/>
          <w:lang w:eastAsia="zh-CN"/>
        </w:rPr>
        <w:t>、</w:t>
      </w:r>
      <w:r>
        <w:rPr>
          <w:rFonts w:hint="eastAsia" w:ascii="微软雅黑" w:hAnsi="微软雅黑" w:eastAsia="微软雅黑" w:cs="微软雅黑"/>
          <w:b/>
          <w:bCs w:val="0"/>
          <w:sz w:val="24"/>
          <w:szCs w:val="24"/>
        </w:rPr>
        <w:t>储存</w:t>
      </w:r>
      <w:r>
        <w:rPr>
          <w:rFonts w:hint="eastAsia" w:ascii="微软雅黑" w:hAnsi="微软雅黑" w:eastAsia="微软雅黑" w:cs="微软雅黑"/>
          <w:b/>
          <w:bCs w:val="0"/>
          <w:sz w:val="24"/>
          <w:szCs w:val="24"/>
          <w:lang w:eastAsia="zh-CN"/>
        </w:rPr>
        <w:t>、</w:t>
      </w:r>
      <w:r>
        <w:rPr>
          <w:rFonts w:hint="eastAsia" w:ascii="微软雅黑" w:hAnsi="微软雅黑" w:eastAsia="微软雅黑" w:cs="微软雅黑"/>
          <w:b/>
          <w:bCs w:val="0"/>
          <w:sz w:val="24"/>
          <w:szCs w:val="24"/>
          <w:lang w:val="en-US" w:eastAsia="zh-CN"/>
        </w:rPr>
        <w:t>吊装、</w:t>
      </w:r>
      <w:r>
        <w:rPr>
          <w:rFonts w:hint="eastAsia" w:ascii="微软雅黑" w:hAnsi="微软雅黑" w:eastAsia="微软雅黑" w:cs="微软雅黑"/>
          <w:b/>
          <w:sz w:val="24"/>
        </w:rPr>
        <w:t>安装调试要求</w:t>
      </w:r>
    </w:p>
    <w:p w14:paraId="16CAF778">
      <w:pPr>
        <w:pStyle w:val="15"/>
        <w:numPr>
          <w:ilvl w:val="0"/>
          <w:numId w:val="0"/>
        </w:numPr>
        <w:spacing w:line="480" w:lineRule="exact"/>
        <w:ind w:leftChars="0"/>
        <w:outlineLvl w:val="0"/>
        <w:rPr>
          <w:rFonts w:hint="eastAsia" w:ascii="微软雅黑" w:hAnsi="微软雅黑" w:eastAsia="微软雅黑" w:cs="微软雅黑"/>
          <w:b/>
          <w:sz w:val="24"/>
          <w:szCs w:val="24"/>
          <w:lang w:val="en-US" w:eastAsia="zh-CN"/>
        </w:rPr>
      </w:pPr>
      <w:r>
        <w:rPr>
          <w:rFonts w:hint="eastAsia" w:ascii="微软雅黑" w:hAnsi="微软雅黑" w:eastAsia="微软雅黑" w:cs="微软雅黑"/>
          <w:b/>
          <w:sz w:val="24"/>
          <w:szCs w:val="24"/>
          <w:lang w:val="en-US" w:eastAsia="zh-CN"/>
        </w:rPr>
        <w:t>7.1</w:t>
      </w:r>
      <w:r>
        <w:rPr>
          <w:rFonts w:hint="eastAsia" w:ascii="微软雅黑" w:hAnsi="微软雅黑" w:eastAsia="微软雅黑" w:cs="微软雅黑"/>
          <w:b/>
          <w:sz w:val="24"/>
          <w:szCs w:val="24"/>
        </w:rPr>
        <w:t xml:space="preserve"> 清洁</w:t>
      </w:r>
      <w:r>
        <w:rPr>
          <w:rFonts w:hint="eastAsia" w:ascii="微软雅黑" w:hAnsi="微软雅黑" w:eastAsia="微软雅黑" w:cs="微软雅黑"/>
          <w:b/>
          <w:sz w:val="24"/>
          <w:szCs w:val="24"/>
          <w:lang w:eastAsia="zh-CN"/>
        </w:rPr>
        <w:t>、</w:t>
      </w:r>
      <w:r>
        <w:rPr>
          <w:rFonts w:hint="eastAsia" w:ascii="微软雅黑" w:hAnsi="微软雅黑" w:eastAsia="微软雅黑" w:cs="微软雅黑"/>
          <w:b/>
          <w:sz w:val="24"/>
          <w:szCs w:val="24"/>
          <w:lang w:val="en-US" w:eastAsia="zh-CN"/>
        </w:rPr>
        <w:t>油漆</w:t>
      </w:r>
    </w:p>
    <w:p w14:paraId="659AE656">
      <w:pPr>
        <w:numPr>
          <w:ilvl w:val="0"/>
          <w:numId w:val="0"/>
        </w:numPr>
        <w:spacing w:line="480" w:lineRule="exact"/>
        <w:ind w:leftChars="0"/>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7.1.1</w:t>
      </w:r>
      <w:r>
        <w:rPr>
          <w:rFonts w:hint="eastAsia" w:ascii="微软雅黑" w:hAnsi="微软雅黑" w:eastAsia="微软雅黑" w:cs="微软雅黑"/>
          <w:sz w:val="24"/>
          <w:szCs w:val="24"/>
        </w:rPr>
        <w:t>结构件材料在下料前均需进行喷丸除锈处理。</w:t>
      </w:r>
    </w:p>
    <w:p w14:paraId="62742E71">
      <w:pPr>
        <w:numPr>
          <w:ilvl w:val="0"/>
          <w:numId w:val="0"/>
        </w:numPr>
        <w:tabs>
          <w:tab w:val="left" w:pos="700"/>
        </w:tabs>
        <w:spacing w:line="480" w:lineRule="exact"/>
        <w:ind w:leftChars="0"/>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7.1.2</w:t>
      </w:r>
      <w:r>
        <w:rPr>
          <w:rFonts w:hint="eastAsia" w:ascii="微软雅黑" w:hAnsi="微软雅黑" w:eastAsia="微软雅黑" w:cs="微软雅黑"/>
          <w:sz w:val="24"/>
          <w:szCs w:val="24"/>
        </w:rPr>
        <w:t>组装前应从每个零件内部清除全部加工垃圾，如金属切削物、填充物等。同时，应清除内外表面的所有轧屑、锈皮、油脂等。所有设备交付时至少应有一层锌基打底漆层和一层覆面涂层，暴露于大气的金属表面需要加涂层。钢结构发运前必须上一层底漆（不包括保养底漆）二层面漆。在现场安装完毕后，所有钢结构表面由施工单位涂刷最后一道修补面漆。油漆颜色由招标方确定。</w:t>
      </w:r>
    </w:p>
    <w:p w14:paraId="7FEAA95F">
      <w:pPr>
        <w:numPr>
          <w:ilvl w:val="0"/>
          <w:numId w:val="0"/>
        </w:numPr>
        <w:adjustRightInd/>
        <w:spacing w:line="480" w:lineRule="exact"/>
        <w:ind w:lef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7.1.3</w:t>
      </w:r>
      <w:r>
        <w:rPr>
          <w:rFonts w:hint="eastAsia" w:ascii="微软雅黑" w:hAnsi="微软雅黑" w:eastAsia="微软雅黑" w:cs="微软雅黑"/>
          <w:sz w:val="24"/>
          <w:szCs w:val="24"/>
        </w:rPr>
        <w:t>油漆应采用国内较先进的漆种，并能适应当地的环境条件，防盐雾腐蚀。油漆保证期为6年。油膜总厚度一般不小于200µm。</w:t>
      </w:r>
    </w:p>
    <w:p w14:paraId="417B2DB5">
      <w:pPr>
        <w:pStyle w:val="15"/>
        <w:numPr>
          <w:ilvl w:val="0"/>
          <w:numId w:val="0"/>
        </w:numPr>
        <w:spacing w:line="480" w:lineRule="exact"/>
        <w:ind w:leftChars="0"/>
        <w:outlineLvl w:val="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7.2</w:t>
      </w:r>
      <w:r>
        <w:rPr>
          <w:rFonts w:hint="eastAsia" w:ascii="微软雅黑" w:hAnsi="微软雅黑" w:eastAsia="微软雅黑" w:cs="微软雅黑"/>
          <w:b/>
          <w:sz w:val="24"/>
          <w:szCs w:val="24"/>
        </w:rPr>
        <w:t xml:space="preserve"> 包装与装卸</w:t>
      </w:r>
    </w:p>
    <w:p w14:paraId="14956693">
      <w:pPr>
        <w:pStyle w:val="15"/>
        <w:numPr>
          <w:ilvl w:val="2"/>
          <w:numId w:val="4"/>
        </w:numPr>
        <w:spacing w:line="480" w:lineRule="exact"/>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包装与保管</w:t>
      </w:r>
    </w:p>
    <w:p w14:paraId="56898B55">
      <w:pPr>
        <w:adjustRightInd w:val="0"/>
        <w:spacing w:line="480" w:lineRule="exact"/>
        <w:ind w:firstLine="480" w:firstLineChars="200"/>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在合同设备任何部分交付运输前，投标人按照规定和本附件所述的要求，对所要交付的该部分合同设备进行包装，该包装具有适合长途运输、多次搬运和装卸的坚固包装，以确保合同设备安全、无损地运抵现场。</w:t>
      </w:r>
    </w:p>
    <w:p w14:paraId="437D7737">
      <w:pPr>
        <w:adjustRightInd w:val="0"/>
        <w:spacing w:line="480" w:lineRule="exact"/>
        <w:ind w:firstLine="480" w:firstLineChars="200"/>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投标人保证对合同设备的所有包装在运输、装卸过程中完好无损，并有减震、防冲击的措施。若包装无法防止运输、装卸过程中垂直、水平加速度引起的设备损坏，投标人要在设备的设计结构上予以解决。</w:t>
      </w:r>
    </w:p>
    <w:p w14:paraId="71AA7D99">
      <w:pPr>
        <w:adjustRightInd w:val="0"/>
        <w:spacing w:line="480" w:lineRule="exact"/>
        <w:ind w:firstLine="480" w:firstLineChars="200"/>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投标人提供的包装能保证合同设备在现场的保管与维护，在合理时间内采取有效的防潮、抗氧化的措施。所有合同设备的包装与保管措施满足露天堆放六个月的要求，并不造成设备损害。</w:t>
      </w:r>
    </w:p>
    <w:p w14:paraId="59E0A32B">
      <w:pPr>
        <w:adjustRightInd w:val="0"/>
        <w:spacing w:line="480" w:lineRule="exact"/>
        <w:ind w:firstLine="480" w:firstLineChars="20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产品包装、运输、储存应符合国标的有关规定。如果国家有关包装的标准或规范、本附件所述的包装技术规范及合同设备承运人的包装要求之间不一致，则投标人按照前述各项规范或要求中的最高要求对合同设备进行包装。</w:t>
      </w:r>
    </w:p>
    <w:p w14:paraId="48040172">
      <w:pPr>
        <w:adjustRightInd w:val="0"/>
        <w:spacing w:line="480" w:lineRule="exact"/>
        <w:ind w:firstLine="480" w:firstLineChars="200"/>
        <w:textAlignment w:val="baseline"/>
        <w:rPr>
          <w:rFonts w:hint="eastAsia" w:ascii="微软雅黑" w:hAnsi="微软雅黑" w:eastAsia="微软雅黑" w:cs="微软雅黑"/>
          <w:sz w:val="24"/>
          <w:szCs w:val="24"/>
        </w:rPr>
      </w:pPr>
      <w:r>
        <w:rPr>
          <w:rFonts w:hint="eastAsia" w:ascii="微软雅黑" w:hAnsi="微软雅黑" w:eastAsia="微软雅黑" w:cs="微软雅黑"/>
          <w:sz w:val="24"/>
          <w:szCs w:val="24"/>
        </w:rPr>
        <w:t>除大型结构外，所有拆散件均用板条箱或其它包装箱包装并标上相应的符号后再发运。如为了运输安全起见而在内部采用适当的临时支撑的货件，应明显的标上诸如“在安装完成前必须拆去”之类的标记。所有孔、管接头以及法兰、螺栓和末端需焊接的连接件，都应有保护装置，以防止在运输和保管期间发生损坏腐蚀和掉进其他物件的现象发生。法兰连接件必须用较厚垫片加以保护，用螺栓紧固。刻有螺纹或管座连接件需用紧固塑料件作保护装置。</w:t>
      </w:r>
    </w:p>
    <w:p w14:paraId="4A021386">
      <w:pPr>
        <w:adjustRightInd w:val="0"/>
        <w:spacing w:line="480" w:lineRule="exact"/>
        <w:ind w:firstLine="480" w:firstLineChars="200"/>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设备在运输和保管中应涂防腐漆或采取其它防腐措施，以便在运输保管中起防腐作用。凡电器电子设备必须严格包装，以确保不致在运输和保管期间（考虑露天放置至少</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个月）损坏，并防止受潮和浸水。</w:t>
      </w:r>
    </w:p>
    <w:p w14:paraId="74D700AB">
      <w:pPr>
        <w:adjustRightInd w:val="0"/>
        <w:spacing w:line="480" w:lineRule="exact"/>
        <w:ind w:firstLine="480" w:firstLineChars="200"/>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投标人在投标时随技术文件提交合同设备的包装技术规范及标准，包括但不限于包装示意图、包装材料材质与规格等，由招标人进行审查确认。技术文件中还应包括对合同设备包装过程中将采取的防潮、防锈、防腐蚀、抗震及充氮等措施的规范与标准的文件。</w:t>
      </w:r>
    </w:p>
    <w:p w14:paraId="1258F17F">
      <w:pPr>
        <w:pStyle w:val="15"/>
        <w:numPr>
          <w:ilvl w:val="2"/>
          <w:numId w:val="4"/>
        </w:numPr>
        <w:spacing w:line="480" w:lineRule="exact"/>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组装</w:t>
      </w:r>
    </w:p>
    <w:p w14:paraId="5125D67D">
      <w:pPr>
        <w:adjustRightInd w:val="0"/>
        <w:spacing w:line="480" w:lineRule="exact"/>
        <w:ind w:firstLine="480" w:firstLineChars="200"/>
        <w:textAlignment w:val="baseline"/>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合同设备尽量在投标人工厂完成组装，以尽可能减少现场的拼装工作量，以提高安装质量与效率。工厂拼装尺寸以运输工具所能承担的最大尺寸为限。对于易受潮或现场拼装容易导致合同设备损伤或损害的尤其应整体交付至交货点。</w:t>
      </w:r>
    </w:p>
    <w:p w14:paraId="1198191E">
      <w:pPr>
        <w:pStyle w:val="15"/>
        <w:numPr>
          <w:ilvl w:val="2"/>
          <w:numId w:val="4"/>
        </w:numPr>
        <w:spacing w:line="480" w:lineRule="exact"/>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所有备品备件和专用工具应单独包装，并适合长期保存。</w:t>
      </w:r>
    </w:p>
    <w:p w14:paraId="2FDB3EEA">
      <w:pPr>
        <w:pStyle w:val="15"/>
        <w:numPr>
          <w:ilvl w:val="1"/>
          <w:numId w:val="4"/>
        </w:numPr>
        <w:spacing w:line="480" w:lineRule="exact"/>
        <w:outlineLvl w:val="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 xml:space="preserve"> 运输与储存</w:t>
      </w:r>
    </w:p>
    <w:p w14:paraId="691A327A">
      <w:pPr>
        <w:pStyle w:val="15"/>
        <w:numPr>
          <w:ilvl w:val="2"/>
          <w:numId w:val="4"/>
        </w:numPr>
        <w:spacing w:line="480" w:lineRule="exact"/>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投标人应提供所有设备、包括一些特殊设备的保管说明。</w:t>
      </w:r>
    </w:p>
    <w:p w14:paraId="4394C139">
      <w:pPr>
        <w:pStyle w:val="15"/>
        <w:numPr>
          <w:ilvl w:val="2"/>
          <w:numId w:val="4"/>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投标人所用的每种防腐剂的质量、预期寿命和型号应一致。投标人应向招标人提交各种防腐剂去除步骤的完整资料。</w:t>
      </w:r>
    </w:p>
    <w:p w14:paraId="4D7BEDFF">
      <w:pPr>
        <w:pStyle w:val="15"/>
        <w:numPr>
          <w:ilvl w:val="2"/>
          <w:numId w:val="4"/>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设备到达安装现场后</w:t>
      </w:r>
      <w:r>
        <w:rPr>
          <w:rFonts w:hint="eastAsia" w:ascii="微软雅黑" w:hAnsi="微软雅黑" w:eastAsia="微软雅黑" w:cs="微软雅黑"/>
          <w:color w:val="000000"/>
          <w:sz w:val="24"/>
          <w:szCs w:val="24"/>
        </w:rPr>
        <w:t>，</w:t>
      </w:r>
      <w:r>
        <w:rPr>
          <w:rFonts w:hint="eastAsia" w:ascii="微软雅黑" w:hAnsi="微软雅黑" w:eastAsia="微软雅黑" w:cs="微软雅黑"/>
          <w:color w:val="000000"/>
          <w:sz w:val="24"/>
          <w:szCs w:val="24"/>
          <w:lang w:val="en-US" w:eastAsia="zh-CN"/>
        </w:rPr>
        <w:t>由投标人负责现场卸车，存放至招标人指定区域。</w:t>
      </w:r>
      <w:r>
        <w:rPr>
          <w:rFonts w:hint="eastAsia" w:ascii="微软雅黑" w:hAnsi="微软雅黑" w:eastAsia="微软雅黑" w:cs="微软雅黑"/>
          <w:sz w:val="24"/>
          <w:szCs w:val="24"/>
        </w:rPr>
        <w:t>投标人与招标人按商定的开箱检验办法，对照装箱单逐件清点，进行检查和验收。由投标人扩散联营或外包生产的设备(部件) 到达安装现场后，仍由投标人会同招标人进行检查和验收。</w:t>
      </w:r>
    </w:p>
    <w:p w14:paraId="33965A8E">
      <w:pPr>
        <w:pStyle w:val="15"/>
        <w:numPr>
          <w:ilvl w:val="2"/>
          <w:numId w:val="4"/>
        </w:numPr>
        <w:spacing w:line="480" w:lineRule="exact"/>
        <w:ind w:left="0" w:firstLine="0"/>
        <w:outlineLvl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设备到达安装现场后，按规定储存。如有特殊要求，投标人将向招标人及早提出。</w:t>
      </w:r>
    </w:p>
    <w:bookmarkEnd w:id="52"/>
    <w:bookmarkEnd w:id="53"/>
    <w:bookmarkEnd w:id="54"/>
    <w:p w14:paraId="29540113">
      <w:pPr>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lang w:val="en-US" w:eastAsia="zh-CN"/>
        </w:rPr>
        <w:t>7.4</w:t>
      </w:r>
      <w:r>
        <w:rPr>
          <w:rFonts w:hint="eastAsia" w:ascii="微软雅黑" w:hAnsi="微软雅黑" w:eastAsia="微软雅黑" w:cs="微软雅黑"/>
          <w:b/>
          <w:sz w:val="24"/>
        </w:rPr>
        <w:t>安装</w:t>
      </w:r>
      <w:r>
        <w:rPr>
          <w:rFonts w:hint="eastAsia" w:ascii="微软雅黑" w:hAnsi="微软雅黑" w:eastAsia="微软雅黑" w:cs="微软雅黑"/>
          <w:b/>
          <w:sz w:val="24"/>
          <w:lang w:eastAsia="zh-CN"/>
        </w:rPr>
        <w:t>、</w:t>
      </w:r>
      <w:r>
        <w:rPr>
          <w:rFonts w:hint="eastAsia" w:ascii="微软雅黑" w:hAnsi="微软雅黑" w:eastAsia="微软雅黑" w:cs="微软雅黑"/>
          <w:b/>
          <w:sz w:val="24"/>
        </w:rPr>
        <w:t>调试要求</w:t>
      </w:r>
    </w:p>
    <w:p w14:paraId="00029749">
      <w:pPr>
        <w:pStyle w:val="15"/>
        <w:numPr>
          <w:ilvl w:val="0"/>
          <w:numId w:val="0"/>
        </w:numPr>
        <w:spacing w:before="120" w:line="480" w:lineRule="exact"/>
        <w:ind w:leftChars="0"/>
        <w:outlineLvl w:val="0"/>
        <w:rPr>
          <w:rFonts w:hint="eastAsia" w:ascii="微软雅黑" w:hAnsi="微软雅黑" w:eastAsia="微软雅黑" w:cs="微软雅黑"/>
          <w:b w:val="0"/>
          <w:bCs/>
          <w:sz w:val="24"/>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w:t>
      </w:r>
      <w:r>
        <w:rPr>
          <w:rFonts w:hint="eastAsia" w:ascii="微软雅黑" w:hAnsi="微软雅黑" w:eastAsia="微软雅黑" w:cs="微软雅黑"/>
          <w:sz w:val="24"/>
        </w:rPr>
        <w:t xml:space="preserve"> </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必须执行《中华人民共和国安全生产法》及各级人民政府关于安全生产的法规、条例和规定，严格执行</w:t>
      </w:r>
      <w:r>
        <w:rPr>
          <w:rFonts w:hint="eastAsia" w:ascii="微软雅黑" w:hAnsi="微软雅黑" w:eastAsia="微软雅黑" w:cs="微软雅黑"/>
          <w:b w:val="0"/>
          <w:bCs/>
          <w:sz w:val="24"/>
          <w:lang w:eastAsia="zh-CN"/>
        </w:rPr>
        <w:t>宁夏中宁发电有限责任公司</w:t>
      </w:r>
      <w:r>
        <w:rPr>
          <w:rFonts w:hint="eastAsia" w:ascii="微软雅黑" w:hAnsi="微软雅黑" w:eastAsia="微软雅黑" w:cs="微软雅黑"/>
          <w:b w:val="0"/>
          <w:bCs/>
          <w:sz w:val="24"/>
        </w:rPr>
        <w:t>相关安全生产管理规章制度，必须采取一切必要措施和手段强化施工安全管理，提高安全施工水平。确定严格的安全施工秩序以保证施工人员在施工中的安全与健康，并确保本工程安全生产。</w:t>
      </w:r>
    </w:p>
    <w:p w14:paraId="5C751060">
      <w:pPr>
        <w:pStyle w:val="15"/>
        <w:numPr>
          <w:ilvl w:val="0"/>
          <w:numId w:val="0"/>
        </w:numPr>
        <w:spacing w:before="120" w:line="480" w:lineRule="exact"/>
        <w:ind w:leftChars="0"/>
        <w:outlineLvl w:val="0"/>
        <w:rPr>
          <w:rFonts w:hint="eastAsia" w:ascii="微软雅黑" w:hAnsi="微软雅黑" w:eastAsia="微软雅黑" w:cs="微软雅黑"/>
          <w:b w:val="0"/>
          <w:bCs/>
          <w:sz w:val="24"/>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4.2</w:t>
      </w:r>
      <w:r>
        <w:rPr>
          <w:rFonts w:hint="eastAsia" w:ascii="微软雅黑" w:hAnsi="微软雅黑" w:eastAsia="微软雅黑" w:cs="微软雅黑"/>
          <w:sz w:val="24"/>
        </w:rPr>
        <w:t xml:space="preserve"> </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的施工人员应经过必要的安全和环境培训,保证员工上岗前经过三级安全教育，具备安全完成相关活动的能力。特种工种、特殊工艺人员应持有效证件上岗。</w:t>
      </w:r>
    </w:p>
    <w:p w14:paraId="5D17C2EE">
      <w:pPr>
        <w:pStyle w:val="15"/>
        <w:numPr>
          <w:ilvl w:val="0"/>
          <w:numId w:val="0"/>
        </w:numPr>
        <w:spacing w:before="120" w:line="480" w:lineRule="exact"/>
        <w:ind w:leftChars="0"/>
        <w:outlineLvl w:val="0"/>
        <w:rPr>
          <w:rFonts w:hint="eastAsia" w:ascii="微软雅黑" w:hAnsi="微软雅黑" w:eastAsia="微软雅黑" w:cs="微软雅黑"/>
          <w:b w:val="0"/>
          <w:bCs/>
          <w:sz w:val="24"/>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4.3</w:t>
      </w:r>
      <w:r>
        <w:rPr>
          <w:rFonts w:hint="eastAsia" w:ascii="微软雅黑" w:hAnsi="微软雅黑" w:eastAsia="微软雅黑" w:cs="微软雅黑"/>
          <w:sz w:val="24"/>
        </w:rPr>
        <w:t xml:space="preserve"> </w:t>
      </w:r>
      <w:r>
        <w:rPr>
          <w:rFonts w:hint="eastAsia" w:ascii="微软雅黑" w:hAnsi="微软雅黑" w:eastAsia="微软雅黑" w:cs="微软雅黑"/>
          <w:b w:val="0"/>
          <w:bCs/>
          <w:sz w:val="24"/>
        </w:rPr>
        <w:t xml:space="preserve"> </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在施工中发生重大人身伤亡事故、设备安全事故时应及时通知</w:t>
      </w:r>
      <w:r>
        <w:rPr>
          <w:rFonts w:hint="eastAsia" w:ascii="微软雅黑" w:hAnsi="微软雅黑" w:eastAsia="微软雅黑" w:cs="微软雅黑"/>
          <w:b w:val="0"/>
          <w:bCs/>
          <w:sz w:val="24"/>
          <w:lang w:eastAsia="zh-CN"/>
        </w:rPr>
        <w:t>招标方</w:t>
      </w:r>
      <w:r>
        <w:rPr>
          <w:rFonts w:hint="eastAsia" w:ascii="微软雅黑" w:hAnsi="微软雅黑" w:eastAsia="微软雅黑" w:cs="微软雅黑"/>
          <w:b w:val="0"/>
          <w:bCs/>
          <w:sz w:val="24"/>
        </w:rPr>
        <w:t>。并在国家规定的期限内，将事故调查和处理意见报告</w:t>
      </w:r>
      <w:r>
        <w:rPr>
          <w:rFonts w:hint="eastAsia" w:ascii="微软雅黑" w:hAnsi="微软雅黑" w:eastAsia="微软雅黑" w:cs="微软雅黑"/>
          <w:b w:val="0"/>
          <w:bCs/>
          <w:sz w:val="24"/>
          <w:lang w:eastAsia="zh-CN"/>
        </w:rPr>
        <w:t>招标方</w:t>
      </w:r>
      <w:r>
        <w:rPr>
          <w:rFonts w:hint="eastAsia" w:ascii="微软雅黑" w:hAnsi="微软雅黑" w:eastAsia="微软雅黑" w:cs="微软雅黑"/>
          <w:b w:val="0"/>
          <w:bCs/>
          <w:sz w:val="24"/>
        </w:rPr>
        <w:t>，并按程序上报主管部门和地方劳动部门。由</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原因引起的事故，</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应承担相应的赔偿责任。</w:t>
      </w:r>
    </w:p>
    <w:p w14:paraId="6CF7FE48">
      <w:pPr>
        <w:pStyle w:val="15"/>
        <w:numPr>
          <w:ilvl w:val="0"/>
          <w:numId w:val="0"/>
        </w:numPr>
        <w:spacing w:before="120" w:line="480" w:lineRule="exact"/>
        <w:ind w:leftChars="0"/>
        <w:outlineLvl w:val="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4.4</w:t>
      </w:r>
      <w:r>
        <w:rPr>
          <w:rFonts w:hint="eastAsia" w:ascii="微软雅黑" w:hAnsi="微软雅黑" w:eastAsia="微软雅黑" w:cs="微软雅黑"/>
          <w:sz w:val="24"/>
        </w:rPr>
        <w:t xml:space="preserve"> </w:t>
      </w:r>
      <w:r>
        <w:rPr>
          <w:rFonts w:hint="eastAsia" w:ascii="微软雅黑" w:hAnsi="微软雅黑" w:eastAsia="微软雅黑" w:cs="微软雅黑"/>
          <w:sz w:val="24"/>
          <w:lang w:val="en-US" w:eastAsia="zh-CN"/>
        </w:rPr>
        <w:t>安装过程中需要</w:t>
      </w:r>
      <w:r>
        <w:rPr>
          <w:rFonts w:hint="eastAsia" w:ascii="微软雅黑" w:hAnsi="微软雅黑" w:eastAsia="微软雅黑" w:cs="微软雅黑"/>
          <w:b w:val="0"/>
          <w:bCs/>
          <w:sz w:val="24"/>
        </w:rPr>
        <w:t>拆除</w:t>
      </w:r>
      <w:r>
        <w:rPr>
          <w:rFonts w:hint="eastAsia" w:ascii="微软雅黑" w:hAnsi="微软雅黑" w:eastAsia="微软雅黑" w:cs="微软雅黑"/>
          <w:b w:val="0"/>
          <w:bCs/>
          <w:sz w:val="24"/>
          <w:lang w:eastAsia="zh-CN"/>
        </w:rPr>
        <w:t>、</w:t>
      </w:r>
      <w:r>
        <w:rPr>
          <w:rFonts w:hint="eastAsia" w:ascii="微软雅黑" w:hAnsi="微软雅黑" w:eastAsia="微软雅黑" w:cs="微软雅黑"/>
          <w:b w:val="0"/>
          <w:bCs/>
          <w:sz w:val="24"/>
          <w:lang w:val="en-US" w:eastAsia="zh-CN"/>
        </w:rPr>
        <w:t>搬运输煤系统上的设备、设施</w:t>
      </w:r>
      <w:r>
        <w:rPr>
          <w:rFonts w:hint="eastAsia" w:ascii="微软雅黑" w:hAnsi="微软雅黑" w:eastAsia="微软雅黑" w:cs="微软雅黑"/>
          <w:b w:val="0"/>
          <w:bCs/>
          <w:sz w:val="24"/>
          <w:lang w:eastAsia="zh-CN"/>
        </w:rPr>
        <w:t>，</w:t>
      </w:r>
      <w:r>
        <w:rPr>
          <w:rFonts w:hint="eastAsia" w:ascii="微软雅黑" w:hAnsi="微软雅黑" w:eastAsia="微软雅黑" w:cs="微软雅黑"/>
          <w:b w:val="0"/>
          <w:bCs/>
          <w:sz w:val="24"/>
        </w:rPr>
        <w:t>所需吊装的吊车由</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自行解决</w:t>
      </w:r>
      <w:r>
        <w:rPr>
          <w:rFonts w:hint="eastAsia" w:ascii="微软雅黑" w:hAnsi="微软雅黑" w:eastAsia="微软雅黑" w:cs="微软雅黑"/>
          <w:b w:val="0"/>
          <w:bCs/>
          <w:sz w:val="24"/>
          <w:lang w:eastAsia="zh-CN"/>
        </w:rPr>
        <w:t>。</w:t>
      </w:r>
    </w:p>
    <w:p w14:paraId="6448C5B9">
      <w:pPr>
        <w:pStyle w:val="15"/>
        <w:numPr>
          <w:ilvl w:val="0"/>
          <w:numId w:val="0"/>
        </w:numPr>
        <w:spacing w:before="120" w:line="480" w:lineRule="exact"/>
        <w:ind w:leftChars="0"/>
        <w:outlineLvl w:val="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4.5</w:t>
      </w:r>
      <w:r>
        <w:rPr>
          <w:rFonts w:hint="eastAsia" w:ascii="微软雅黑" w:hAnsi="微软雅黑" w:eastAsia="微软雅黑" w:cs="微软雅黑"/>
          <w:b w:val="0"/>
          <w:bCs/>
          <w:sz w:val="24"/>
          <w:lang w:eastAsia="zh-CN"/>
        </w:rPr>
        <w:t>投标方</w:t>
      </w:r>
      <w:r>
        <w:rPr>
          <w:rFonts w:hint="eastAsia" w:ascii="微软雅黑" w:hAnsi="微软雅黑" w:eastAsia="微软雅黑" w:cs="微软雅黑"/>
          <w:b w:val="0"/>
          <w:bCs/>
          <w:sz w:val="24"/>
        </w:rPr>
        <w:t>根据现场条件，制定</w:t>
      </w:r>
      <w:r>
        <w:rPr>
          <w:rFonts w:hint="eastAsia" w:ascii="微软雅黑" w:hAnsi="微软雅黑" w:eastAsia="微软雅黑" w:cs="微软雅黑"/>
          <w:b w:val="0"/>
          <w:bCs/>
          <w:sz w:val="24"/>
          <w:lang w:val="en-US" w:eastAsia="zh-CN"/>
        </w:rPr>
        <w:t>可靠</w:t>
      </w:r>
      <w:r>
        <w:rPr>
          <w:rFonts w:hint="eastAsia" w:ascii="微软雅黑" w:hAnsi="微软雅黑" w:eastAsia="微软雅黑" w:cs="微软雅黑"/>
          <w:b w:val="0"/>
          <w:bCs/>
          <w:sz w:val="24"/>
        </w:rPr>
        <w:t>的施工方案</w:t>
      </w:r>
      <w:r>
        <w:rPr>
          <w:rFonts w:hint="eastAsia" w:ascii="微软雅黑" w:hAnsi="微软雅黑" w:eastAsia="微软雅黑" w:cs="微软雅黑"/>
          <w:b w:val="0"/>
          <w:bCs/>
          <w:sz w:val="24"/>
          <w:lang w:eastAsia="zh-CN"/>
        </w:rPr>
        <w:t>。</w:t>
      </w:r>
    </w:p>
    <w:p w14:paraId="4CA979EC">
      <w:pPr>
        <w:pStyle w:val="15"/>
        <w:numPr>
          <w:ilvl w:val="0"/>
          <w:numId w:val="0"/>
        </w:numPr>
        <w:spacing w:before="120" w:line="480" w:lineRule="exact"/>
        <w:ind w:leftChars="0"/>
        <w:outlineLvl w:val="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4.6</w:t>
      </w:r>
      <w:r>
        <w:rPr>
          <w:rFonts w:hint="eastAsia" w:ascii="微软雅黑" w:hAnsi="微软雅黑" w:eastAsia="微软雅黑" w:cs="微软雅黑"/>
          <w:b w:val="0"/>
          <w:bCs/>
          <w:sz w:val="24"/>
          <w:lang w:eastAsia="zh-CN"/>
        </w:rPr>
        <w:t>投标方需在现场开吊装口时，需通知招标方，经招标方同意后方可开口，开口处需做好临时防护措施，做好警示标识，开口处施工完后马上进行恢复。</w:t>
      </w:r>
    </w:p>
    <w:p w14:paraId="2F1E5741">
      <w:pPr>
        <w:pStyle w:val="15"/>
        <w:numPr>
          <w:ilvl w:val="0"/>
          <w:numId w:val="0"/>
        </w:numPr>
        <w:spacing w:before="120" w:line="480" w:lineRule="exact"/>
        <w:ind w:leftChars="0"/>
        <w:outlineLvl w:val="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4.7</w:t>
      </w:r>
      <w:r>
        <w:rPr>
          <w:rFonts w:hint="eastAsia" w:ascii="微软雅黑" w:hAnsi="微软雅黑" w:eastAsia="微软雅黑" w:cs="微软雅黑"/>
          <w:b w:val="0"/>
          <w:bCs/>
          <w:sz w:val="24"/>
          <w:lang w:eastAsia="zh-CN"/>
        </w:rPr>
        <w:t>投标方负责因施工必须拆除的设备、管道、栏杆等恢复工作，恢复完毕后按照原标准进行刷漆工作，不得随意刷漆，作业面下方设备应用塑料布等遮盖，防止二次污染。</w:t>
      </w:r>
    </w:p>
    <w:p w14:paraId="79F1F303">
      <w:pPr>
        <w:pStyle w:val="15"/>
        <w:numPr>
          <w:ilvl w:val="0"/>
          <w:numId w:val="0"/>
        </w:numPr>
        <w:spacing w:before="120" w:line="480" w:lineRule="exact"/>
        <w:ind w:leftChars="0"/>
        <w:outlineLvl w:val="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4.8</w:t>
      </w:r>
      <w:r>
        <w:rPr>
          <w:rFonts w:hint="eastAsia" w:ascii="微软雅黑" w:hAnsi="微软雅黑" w:eastAsia="微软雅黑" w:cs="微软雅黑"/>
          <w:b w:val="0"/>
          <w:bCs/>
          <w:sz w:val="24"/>
          <w:lang w:val="en-US" w:eastAsia="zh-CN"/>
        </w:rPr>
        <w:t>除铁器设备安装</w:t>
      </w:r>
      <w:r>
        <w:rPr>
          <w:rFonts w:hint="eastAsia" w:ascii="微软雅黑" w:hAnsi="微软雅黑" w:eastAsia="微软雅黑" w:cs="微软雅黑"/>
          <w:b w:val="0"/>
          <w:bCs/>
          <w:sz w:val="24"/>
          <w:lang w:eastAsia="zh-CN"/>
        </w:rPr>
        <w:t>所需的氧气、乙炔、焊条、</w:t>
      </w:r>
      <w:r>
        <w:rPr>
          <w:rFonts w:hint="eastAsia" w:ascii="微软雅黑" w:hAnsi="微软雅黑" w:eastAsia="微软雅黑" w:cs="微软雅黑"/>
          <w:b w:val="0"/>
          <w:bCs/>
          <w:sz w:val="24"/>
          <w:lang w:val="en-US" w:eastAsia="zh-CN"/>
        </w:rPr>
        <w:t>板材等耗品</w:t>
      </w:r>
      <w:r>
        <w:rPr>
          <w:rFonts w:hint="eastAsia" w:ascii="微软雅黑" w:hAnsi="微软雅黑" w:eastAsia="微软雅黑" w:cs="微软雅黑"/>
          <w:b w:val="0"/>
          <w:bCs/>
          <w:sz w:val="24"/>
          <w:lang w:eastAsia="zh-CN"/>
        </w:rPr>
        <w:t>由投标方负责。</w:t>
      </w:r>
    </w:p>
    <w:p w14:paraId="0D1C559E">
      <w:pPr>
        <w:pStyle w:val="15"/>
        <w:numPr>
          <w:ilvl w:val="0"/>
          <w:numId w:val="0"/>
        </w:numPr>
        <w:spacing w:before="120" w:line="480" w:lineRule="exact"/>
        <w:ind w:leftChars="0"/>
        <w:outlineLvl w:val="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4.9</w:t>
      </w:r>
      <w:r>
        <w:rPr>
          <w:rFonts w:hint="eastAsia" w:ascii="微软雅黑" w:hAnsi="微软雅黑" w:eastAsia="微软雅黑" w:cs="微软雅黑"/>
          <w:b w:val="0"/>
          <w:bCs/>
          <w:sz w:val="24"/>
          <w:lang w:eastAsia="zh-CN"/>
        </w:rPr>
        <w:t>投标方负责施工所需</w:t>
      </w:r>
      <w:r>
        <w:rPr>
          <w:rFonts w:hint="eastAsia" w:ascii="微软雅黑" w:hAnsi="微软雅黑" w:eastAsia="微软雅黑" w:cs="微软雅黑"/>
          <w:b w:val="0"/>
          <w:bCs/>
          <w:sz w:val="24"/>
          <w:lang w:val="en-US" w:eastAsia="zh-CN"/>
        </w:rPr>
        <w:t>各类</w:t>
      </w:r>
      <w:r>
        <w:rPr>
          <w:rFonts w:hint="eastAsia" w:ascii="微软雅黑" w:hAnsi="微软雅黑" w:eastAsia="微软雅黑" w:cs="微软雅黑"/>
          <w:b w:val="0"/>
          <w:bCs/>
          <w:sz w:val="24"/>
          <w:lang w:eastAsia="zh-CN"/>
        </w:rPr>
        <w:t>工</w:t>
      </w:r>
      <w:r>
        <w:rPr>
          <w:rFonts w:hint="eastAsia" w:ascii="微软雅黑" w:hAnsi="微软雅黑" w:eastAsia="微软雅黑" w:cs="微软雅黑"/>
          <w:b w:val="0"/>
          <w:bCs/>
          <w:sz w:val="24"/>
          <w:lang w:val="en-US" w:eastAsia="zh-CN"/>
        </w:rPr>
        <w:t>器</w:t>
      </w:r>
      <w:r>
        <w:rPr>
          <w:rFonts w:hint="eastAsia" w:ascii="微软雅黑" w:hAnsi="微软雅黑" w:eastAsia="微软雅黑" w:cs="微软雅黑"/>
          <w:b w:val="0"/>
          <w:bCs/>
          <w:sz w:val="24"/>
          <w:lang w:eastAsia="zh-CN"/>
        </w:rPr>
        <w:t>具，需有合格证，并在检验周期内(包括但不限于)(汽车吊、电动葫芦、卷扬机、电焊机、割把、氧、乙炔带、手锤、扳手、水平仪、钢卷尺等)。</w:t>
      </w:r>
    </w:p>
    <w:p w14:paraId="472A7AD9">
      <w:pPr>
        <w:tabs>
          <w:tab w:val="left" w:pos="737"/>
        </w:tabs>
        <w:spacing w:line="480" w:lineRule="exact"/>
        <w:ind w:left="720" w:hanging="720" w:hangingChars="30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4.10</w:t>
      </w:r>
      <w:r>
        <w:rPr>
          <w:rFonts w:hint="eastAsia" w:ascii="微软雅黑" w:hAnsi="微软雅黑" w:eastAsia="微软雅黑" w:cs="微软雅黑"/>
          <w:b w:val="0"/>
          <w:bCs/>
          <w:sz w:val="24"/>
          <w:lang w:eastAsia="zh-CN"/>
        </w:rPr>
        <w:t>招标方负责投标方施工所需电源供应，线盘及照明灯具由投标方自行负责。</w:t>
      </w:r>
    </w:p>
    <w:p w14:paraId="01FFF810">
      <w:pPr>
        <w:tabs>
          <w:tab w:val="left" w:pos="737"/>
        </w:tabs>
        <w:spacing w:line="480" w:lineRule="exact"/>
        <w:ind w:left="720" w:hanging="720" w:hangingChars="300"/>
        <w:rPr>
          <w:rFonts w:hint="eastAsia" w:ascii="微软雅黑" w:hAnsi="微软雅黑" w:eastAsia="微软雅黑" w:cs="微软雅黑"/>
          <w:b w:val="0"/>
          <w:bCs/>
          <w:sz w:val="24"/>
          <w:lang w:eastAsia="zh-CN"/>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4.11</w:t>
      </w:r>
      <w:r>
        <w:rPr>
          <w:rFonts w:hint="eastAsia" w:ascii="微软雅黑" w:hAnsi="微软雅黑" w:eastAsia="微软雅黑" w:cs="微软雅黑"/>
          <w:b w:val="0"/>
          <w:bCs/>
          <w:sz w:val="24"/>
          <w:lang w:eastAsia="zh-CN"/>
        </w:rPr>
        <w:t xml:space="preserve"> 所有拆除</w:t>
      </w:r>
      <w:r>
        <w:rPr>
          <w:rFonts w:hint="eastAsia" w:ascii="微软雅黑" w:hAnsi="微软雅黑" w:eastAsia="微软雅黑" w:cs="微软雅黑"/>
          <w:b w:val="0"/>
          <w:bCs/>
          <w:color w:val="auto"/>
          <w:sz w:val="24"/>
          <w:lang w:val="en-US" w:eastAsia="zh-CN"/>
        </w:rPr>
        <w:t>输煤系统上的</w:t>
      </w:r>
      <w:r>
        <w:rPr>
          <w:rFonts w:hint="eastAsia" w:ascii="微软雅黑" w:hAnsi="微软雅黑" w:eastAsia="微软雅黑" w:cs="微软雅黑"/>
          <w:b w:val="0"/>
          <w:bCs/>
          <w:sz w:val="24"/>
          <w:lang w:val="en-US" w:eastAsia="zh-CN"/>
        </w:rPr>
        <w:t>设备</w:t>
      </w:r>
      <w:r>
        <w:rPr>
          <w:rFonts w:hint="eastAsia" w:ascii="微软雅黑" w:hAnsi="微软雅黑" w:eastAsia="微软雅黑" w:cs="微软雅黑"/>
          <w:b w:val="0"/>
          <w:bCs/>
          <w:sz w:val="24"/>
          <w:lang w:eastAsia="zh-CN"/>
        </w:rPr>
        <w:t>附件按照指定位置整齐摆放，工作完毕后由投标方将物件运送至招标方</w:t>
      </w:r>
      <w:r>
        <w:rPr>
          <w:rFonts w:hint="eastAsia" w:ascii="微软雅黑" w:hAnsi="微软雅黑" w:eastAsia="微软雅黑" w:cs="微软雅黑"/>
          <w:b w:val="0"/>
          <w:bCs/>
          <w:sz w:val="24"/>
          <w:lang w:val="en-US" w:eastAsia="zh-CN"/>
        </w:rPr>
        <w:t>指</w:t>
      </w:r>
      <w:r>
        <w:rPr>
          <w:rFonts w:hint="eastAsia" w:ascii="微软雅黑" w:hAnsi="微软雅黑" w:eastAsia="微软雅黑" w:cs="微软雅黑"/>
          <w:b w:val="0"/>
          <w:bCs/>
          <w:sz w:val="24"/>
          <w:lang w:eastAsia="zh-CN"/>
        </w:rPr>
        <w:t>定地点</w:t>
      </w:r>
      <w:bookmarkStart w:id="55" w:name="_Toc310769134"/>
      <w:r>
        <w:rPr>
          <w:rFonts w:hint="eastAsia" w:ascii="微软雅黑" w:hAnsi="微软雅黑" w:eastAsia="微软雅黑" w:cs="微软雅黑"/>
          <w:b w:val="0"/>
          <w:bCs/>
          <w:sz w:val="24"/>
          <w:lang w:eastAsia="zh-CN"/>
        </w:rPr>
        <w:t>。</w:t>
      </w:r>
    </w:p>
    <w:p w14:paraId="1F7611CF">
      <w:pPr>
        <w:tabs>
          <w:tab w:val="left" w:pos="737"/>
        </w:tabs>
        <w:spacing w:line="480" w:lineRule="exact"/>
        <w:ind w:left="720" w:hanging="720" w:hangingChars="300"/>
        <w:rPr>
          <w:rFonts w:hint="eastAsia" w:ascii="微软雅黑" w:hAnsi="微软雅黑" w:eastAsia="微软雅黑" w:cs="微软雅黑"/>
          <w:sz w:val="24"/>
        </w:rPr>
      </w:pPr>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4.12</w:t>
      </w:r>
      <w:r>
        <w:rPr>
          <w:rFonts w:hint="eastAsia" w:ascii="微软雅黑" w:hAnsi="微软雅黑" w:eastAsia="微软雅黑" w:cs="微软雅黑"/>
          <w:sz w:val="24"/>
        </w:rPr>
        <w:t xml:space="preserve"> 设备安装</w:t>
      </w:r>
      <w:r>
        <w:rPr>
          <w:rFonts w:hint="eastAsia" w:ascii="微软雅黑" w:hAnsi="微软雅黑" w:eastAsia="微软雅黑" w:cs="微软雅黑"/>
          <w:sz w:val="24"/>
          <w:lang w:eastAsia="zh-CN"/>
        </w:rPr>
        <w:t>、</w:t>
      </w:r>
      <w:r>
        <w:rPr>
          <w:rFonts w:hint="eastAsia" w:ascii="微软雅黑" w:hAnsi="微软雅黑" w:eastAsia="微软雅黑" w:cs="微软雅黑"/>
          <w:sz w:val="24"/>
        </w:rPr>
        <w:t>调试期间，</w:t>
      </w:r>
      <w:r>
        <w:rPr>
          <w:rFonts w:hint="eastAsia" w:ascii="微软雅黑" w:hAnsi="微软雅黑" w:eastAsia="微软雅黑" w:cs="微软雅黑"/>
          <w:sz w:val="24"/>
          <w:lang w:eastAsia="zh-CN"/>
        </w:rPr>
        <w:t>投标人</w:t>
      </w:r>
      <w:r>
        <w:rPr>
          <w:rFonts w:hint="eastAsia" w:ascii="微软雅黑" w:hAnsi="微软雅黑" w:eastAsia="微软雅黑" w:cs="微软雅黑"/>
          <w:sz w:val="24"/>
        </w:rPr>
        <w:t>必须派</w:t>
      </w:r>
      <w:r>
        <w:rPr>
          <w:rFonts w:hint="eastAsia" w:ascii="微软雅黑" w:hAnsi="微软雅黑" w:eastAsia="微软雅黑" w:cs="微软雅黑"/>
          <w:sz w:val="24"/>
          <w:lang w:val="en-US" w:eastAsia="zh-CN"/>
        </w:rPr>
        <w:t>技术人</w:t>
      </w:r>
      <w:r>
        <w:rPr>
          <w:rFonts w:hint="eastAsia" w:ascii="微软雅黑" w:hAnsi="微软雅黑" w:eastAsia="微软雅黑" w:cs="微软雅黑"/>
          <w:sz w:val="24"/>
        </w:rPr>
        <w:t>员到现场进行技术服务</w:t>
      </w:r>
      <w:r>
        <w:rPr>
          <w:rFonts w:hint="eastAsia" w:ascii="微软雅黑" w:hAnsi="微软雅黑" w:eastAsia="微软雅黑" w:cs="微软雅黑"/>
          <w:sz w:val="24"/>
          <w:lang w:eastAsia="zh-CN"/>
        </w:rPr>
        <w:t>，</w:t>
      </w:r>
      <w:r>
        <w:rPr>
          <w:rFonts w:hint="eastAsia" w:ascii="微软雅黑" w:hAnsi="微软雅黑" w:eastAsia="微软雅黑" w:cs="微软雅黑"/>
          <w:sz w:val="24"/>
        </w:rPr>
        <w:t>解决安装调试中的问题，现场服务人员应服从</w:t>
      </w:r>
      <w:r>
        <w:rPr>
          <w:rFonts w:hint="eastAsia" w:ascii="微软雅黑" w:hAnsi="微软雅黑" w:eastAsia="微软雅黑" w:cs="微软雅黑"/>
          <w:sz w:val="24"/>
          <w:lang w:val="en-US" w:eastAsia="zh-CN"/>
        </w:rPr>
        <w:t>招标方</w:t>
      </w:r>
      <w:r>
        <w:rPr>
          <w:rFonts w:hint="eastAsia" w:ascii="微软雅黑" w:hAnsi="微软雅黑" w:eastAsia="微软雅黑" w:cs="微软雅黑"/>
          <w:sz w:val="24"/>
        </w:rPr>
        <w:t>的统一调度。</w:t>
      </w:r>
      <w:bookmarkEnd w:id="55"/>
    </w:p>
    <w:p w14:paraId="01064769">
      <w:pPr>
        <w:tabs>
          <w:tab w:val="left" w:pos="737"/>
        </w:tabs>
        <w:spacing w:line="480" w:lineRule="exact"/>
        <w:ind w:left="480" w:hanging="480" w:hangingChars="200"/>
        <w:rPr>
          <w:rFonts w:hint="eastAsia" w:ascii="微软雅黑" w:hAnsi="微软雅黑" w:eastAsia="微软雅黑" w:cs="微软雅黑"/>
          <w:sz w:val="24"/>
        </w:rPr>
      </w:pPr>
      <w:bookmarkStart w:id="56" w:name="_Toc310769135"/>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4.13</w:t>
      </w:r>
      <w:r>
        <w:rPr>
          <w:rFonts w:hint="eastAsia" w:ascii="微软雅黑" w:hAnsi="微软雅黑" w:eastAsia="微软雅黑" w:cs="微软雅黑"/>
          <w:sz w:val="24"/>
        </w:rPr>
        <w:t>设备安装</w:t>
      </w:r>
      <w:r>
        <w:rPr>
          <w:rFonts w:hint="eastAsia" w:ascii="微软雅黑" w:hAnsi="微软雅黑" w:eastAsia="微软雅黑" w:cs="微软雅黑"/>
          <w:sz w:val="24"/>
          <w:lang w:eastAsia="zh-CN"/>
        </w:rPr>
        <w:t>、</w:t>
      </w:r>
      <w:r>
        <w:rPr>
          <w:rFonts w:hint="eastAsia" w:ascii="微软雅黑" w:hAnsi="微软雅黑" w:eastAsia="微软雅黑" w:cs="微软雅黑"/>
          <w:sz w:val="24"/>
        </w:rPr>
        <w:t>调试过程中，由于制造质量造成的不符合规定的偏差，必须有文字记录，由</w:t>
      </w:r>
      <w:r>
        <w:rPr>
          <w:rFonts w:hint="eastAsia" w:ascii="微软雅黑" w:hAnsi="微软雅黑" w:eastAsia="微软雅黑" w:cs="微软雅黑"/>
          <w:sz w:val="24"/>
          <w:lang w:val="en-US" w:eastAsia="zh-CN"/>
        </w:rPr>
        <w:t>投标</w:t>
      </w:r>
      <w:r>
        <w:rPr>
          <w:rFonts w:hint="eastAsia" w:ascii="微软雅黑" w:hAnsi="微软雅黑" w:eastAsia="微软雅黑" w:cs="微软雅黑"/>
          <w:sz w:val="24"/>
        </w:rPr>
        <w:t>方处理，费用也由</w:t>
      </w:r>
      <w:r>
        <w:rPr>
          <w:rFonts w:hint="eastAsia" w:ascii="微软雅黑" w:hAnsi="微软雅黑" w:eastAsia="微软雅黑" w:cs="微软雅黑"/>
          <w:sz w:val="24"/>
          <w:lang w:val="en-US" w:eastAsia="zh-CN"/>
        </w:rPr>
        <w:t>投标方</w:t>
      </w:r>
      <w:r>
        <w:rPr>
          <w:rFonts w:hint="eastAsia" w:ascii="微软雅黑" w:hAnsi="微软雅黑" w:eastAsia="微软雅黑" w:cs="微软雅黑"/>
          <w:sz w:val="24"/>
        </w:rPr>
        <w:t>自负。</w:t>
      </w:r>
      <w:bookmarkEnd w:id="56"/>
    </w:p>
    <w:p w14:paraId="10753923">
      <w:pPr>
        <w:tabs>
          <w:tab w:val="left" w:pos="737"/>
        </w:tabs>
        <w:spacing w:line="480" w:lineRule="exact"/>
        <w:ind w:left="480" w:hanging="480" w:hangingChars="200"/>
        <w:rPr>
          <w:rFonts w:hint="eastAsia" w:ascii="微软雅黑" w:hAnsi="微软雅黑" w:eastAsia="微软雅黑" w:cs="微软雅黑"/>
          <w:sz w:val="24"/>
        </w:rPr>
      </w:pPr>
      <w:bookmarkStart w:id="57" w:name="_Toc310769136"/>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4.14</w:t>
      </w:r>
      <w:r>
        <w:rPr>
          <w:rFonts w:hint="eastAsia" w:ascii="微软雅黑" w:hAnsi="微软雅黑" w:eastAsia="微软雅黑" w:cs="微软雅黑"/>
          <w:sz w:val="24"/>
        </w:rPr>
        <w:t xml:space="preserve"> 设备安装后，</w:t>
      </w:r>
      <w:r>
        <w:rPr>
          <w:rFonts w:hint="eastAsia" w:ascii="微软雅黑" w:hAnsi="微软雅黑" w:eastAsia="微软雅黑" w:cs="微软雅黑"/>
          <w:sz w:val="24"/>
          <w:lang w:val="en-US" w:eastAsia="zh-CN"/>
        </w:rPr>
        <w:t>投标方</w:t>
      </w:r>
      <w:r>
        <w:rPr>
          <w:rFonts w:hint="eastAsia" w:ascii="微软雅黑" w:hAnsi="微软雅黑" w:eastAsia="微软雅黑" w:cs="微软雅黑"/>
          <w:sz w:val="24"/>
        </w:rPr>
        <w:t>派人参加现场进行的分部试运及严密性试验、验收，并帮助解决试验中暴露的问题。</w:t>
      </w:r>
      <w:bookmarkEnd w:id="57"/>
    </w:p>
    <w:p w14:paraId="06123758">
      <w:pPr>
        <w:tabs>
          <w:tab w:val="left" w:pos="737"/>
        </w:tabs>
        <w:spacing w:line="480" w:lineRule="exact"/>
        <w:rPr>
          <w:rFonts w:hint="eastAsia" w:ascii="微软雅黑" w:hAnsi="微软雅黑" w:eastAsia="微软雅黑" w:cs="微软雅黑"/>
          <w:sz w:val="24"/>
        </w:rPr>
      </w:pPr>
      <w:bookmarkStart w:id="58" w:name="_Toc310769137"/>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.4</w:t>
      </w:r>
      <w:r>
        <w:rPr>
          <w:rFonts w:hint="eastAsia" w:ascii="微软雅黑" w:hAnsi="微软雅黑" w:eastAsia="微软雅黑" w:cs="微软雅黑"/>
          <w:sz w:val="24"/>
          <w:lang w:val="en-US" w:eastAsia="zh-CN"/>
        </w:rPr>
        <w:t>.15</w:t>
      </w:r>
      <w:r>
        <w:rPr>
          <w:rFonts w:hint="eastAsia" w:ascii="微软雅黑" w:hAnsi="微软雅黑" w:eastAsia="微软雅黑" w:cs="微软雅黑"/>
          <w:sz w:val="24"/>
        </w:rPr>
        <w:t xml:space="preserve"> 焊缝宏观检查符合</w:t>
      </w:r>
      <w:r>
        <w:rPr>
          <w:rFonts w:hint="eastAsia" w:ascii="微软雅黑" w:hAnsi="微软雅黑" w:eastAsia="微软雅黑" w:cs="微软雅黑"/>
          <w:sz w:val="24"/>
          <w:lang w:val="en-US" w:eastAsia="zh-CN"/>
        </w:rPr>
        <w:t>《</w:t>
      </w:r>
      <w:r>
        <w:rPr>
          <w:rFonts w:hint="eastAsia" w:ascii="微软雅黑" w:hAnsi="微软雅黑" w:eastAsia="微软雅黑" w:cs="微软雅黑"/>
          <w:sz w:val="24"/>
        </w:rPr>
        <w:t>火力发电厂焊接技术规程</w:t>
      </w:r>
      <w:r>
        <w:rPr>
          <w:rFonts w:hint="eastAsia" w:ascii="微软雅黑" w:hAnsi="微软雅黑" w:eastAsia="微软雅黑" w:cs="微软雅黑"/>
          <w:sz w:val="24"/>
          <w:lang w:val="en-US" w:eastAsia="zh-CN"/>
        </w:rPr>
        <w:t>》（</w:t>
      </w:r>
      <w:r>
        <w:rPr>
          <w:rFonts w:hint="eastAsia" w:ascii="微软雅黑" w:hAnsi="微软雅黑" w:eastAsia="微软雅黑" w:cs="微软雅黑"/>
          <w:sz w:val="24"/>
        </w:rPr>
        <w:t>DL</w:t>
      </w:r>
      <w:r>
        <w:rPr>
          <w:rFonts w:hint="eastAsia" w:ascii="微软雅黑" w:hAnsi="微软雅黑" w:eastAsia="微软雅黑" w:cs="微软雅黑"/>
          <w:sz w:val="24"/>
          <w:lang w:val="en-US" w:eastAsia="zh-CN"/>
        </w:rPr>
        <w:t>/</w:t>
      </w:r>
      <w:r>
        <w:rPr>
          <w:rFonts w:hint="eastAsia" w:ascii="微软雅黑" w:hAnsi="微软雅黑" w:eastAsia="微软雅黑" w:cs="微软雅黑"/>
          <w:sz w:val="24"/>
        </w:rPr>
        <w:t>T 869-2012</w:t>
      </w:r>
      <w:r>
        <w:rPr>
          <w:rFonts w:hint="eastAsia" w:ascii="微软雅黑" w:hAnsi="微软雅黑" w:eastAsia="微软雅黑" w:cs="微软雅黑"/>
          <w:sz w:val="24"/>
          <w:lang w:val="en-US" w:eastAsia="zh-CN"/>
        </w:rPr>
        <w:t>）</w:t>
      </w:r>
      <w:r>
        <w:rPr>
          <w:rFonts w:hint="eastAsia" w:ascii="微软雅黑" w:hAnsi="微软雅黑" w:eastAsia="微软雅黑" w:cs="微软雅黑"/>
          <w:sz w:val="24"/>
        </w:rPr>
        <w:t>的要求。</w:t>
      </w:r>
      <w:bookmarkEnd w:id="58"/>
    </w:p>
    <w:p w14:paraId="463F78E7">
      <w:pPr>
        <w:tabs>
          <w:tab w:val="left" w:pos="737"/>
        </w:tabs>
        <w:spacing w:line="480" w:lineRule="exact"/>
        <w:rPr>
          <w:rFonts w:hint="eastAsia" w:ascii="微软雅黑" w:hAnsi="微软雅黑" w:eastAsia="微软雅黑" w:cs="微软雅黑"/>
          <w:sz w:val="24"/>
        </w:rPr>
      </w:pPr>
      <w:bookmarkStart w:id="59" w:name="_Toc310769141"/>
      <w:r>
        <w:rPr>
          <w:rFonts w:hint="eastAsia" w:ascii="微软雅黑" w:hAnsi="微软雅黑" w:eastAsia="微软雅黑" w:cs="微软雅黑"/>
          <w:sz w:val="24"/>
          <w:lang w:val="en-US" w:eastAsia="zh-CN"/>
        </w:rPr>
        <w:t>7</w:t>
      </w:r>
      <w:r>
        <w:rPr>
          <w:rFonts w:hint="eastAsia" w:ascii="微软雅黑" w:hAnsi="微软雅黑" w:eastAsia="微软雅黑" w:cs="微软雅黑"/>
          <w:sz w:val="24"/>
        </w:rPr>
        <w:t>.</w:t>
      </w:r>
      <w:r>
        <w:rPr>
          <w:rFonts w:hint="eastAsia" w:ascii="微软雅黑" w:hAnsi="微软雅黑" w:eastAsia="微软雅黑" w:cs="微软雅黑"/>
          <w:sz w:val="24"/>
          <w:lang w:val="en-US" w:eastAsia="zh-CN"/>
        </w:rPr>
        <w:t>4.16</w:t>
      </w:r>
      <w:r>
        <w:rPr>
          <w:rFonts w:hint="eastAsia" w:ascii="微软雅黑" w:hAnsi="微软雅黑" w:eastAsia="微软雅黑" w:cs="微软雅黑"/>
          <w:sz w:val="24"/>
        </w:rPr>
        <w:t xml:space="preserve"> </w:t>
      </w:r>
      <w:r>
        <w:rPr>
          <w:rFonts w:hint="eastAsia" w:ascii="微软雅黑" w:hAnsi="微软雅黑" w:eastAsia="微软雅黑" w:cs="微软雅黑"/>
          <w:sz w:val="24"/>
          <w:lang w:val="en-US" w:eastAsia="zh-CN"/>
        </w:rPr>
        <w:t>除铁器</w:t>
      </w:r>
      <w:r>
        <w:rPr>
          <w:rFonts w:hint="eastAsia" w:ascii="微软雅黑" w:hAnsi="微软雅黑" w:eastAsia="微软雅黑" w:cs="微软雅黑"/>
          <w:sz w:val="24"/>
          <w:szCs w:val="24"/>
        </w:rPr>
        <w:t>装置</w:t>
      </w:r>
      <w:r>
        <w:rPr>
          <w:rFonts w:hint="eastAsia" w:ascii="微软雅黑" w:hAnsi="微软雅黑" w:eastAsia="微软雅黑" w:cs="微软雅黑"/>
          <w:sz w:val="24"/>
        </w:rPr>
        <w:t>的现场安装调试过程中，</w:t>
      </w:r>
      <w:r>
        <w:rPr>
          <w:rFonts w:hint="eastAsia" w:ascii="微软雅黑" w:hAnsi="微软雅黑" w:eastAsia="微软雅黑" w:cs="微软雅黑"/>
          <w:sz w:val="24"/>
          <w:lang w:val="en-US" w:eastAsia="zh-CN"/>
        </w:rPr>
        <w:t>投标方</w:t>
      </w:r>
      <w:r>
        <w:rPr>
          <w:rFonts w:hint="eastAsia" w:ascii="微软雅黑" w:hAnsi="微软雅黑" w:eastAsia="微软雅黑" w:cs="微软雅黑"/>
          <w:sz w:val="24"/>
        </w:rPr>
        <w:t>应对设备性能和</w:t>
      </w:r>
      <w:r>
        <w:rPr>
          <w:rFonts w:hint="eastAsia" w:ascii="微软雅黑" w:hAnsi="微软雅黑" w:eastAsia="微软雅黑" w:cs="微软雅黑"/>
          <w:sz w:val="24"/>
          <w:lang w:val="en-US" w:eastAsia="zh-CN"/>
        </w:rPr>
        <w:t>所有附属件</w:t>
      </w:r>
      <w:r>
        <w:rPr>
          <w:rFonts w:hint="eastAsia" w:ascii="微软雅黑" w:hAnsi="微软雅黑" w:eastAsia="微软雅黑" w:cs="微软雅黑"/>
          <w:sz w:val="24"/>
        </w:rPr>
        <w:t>问题负全责。</w:t>
      </w:r>
      <w:bookmarkEnd w:id="59"/>
    </w:p>
    <w:p w14:paraId="088FD15A">
      <w:pPr>
        <w:tabs>
          <w:tab w:val="left" w:pos="7195"/>
        </w:tabs>
        <w:spacing w:line="480" w:lineRule="exact"/>
        <w:rPr>
          <w:rFonts w:hint="eastAsia" w:ascii="微软雅黑" w:hAnsi="微软雅黑" w:eastAsia="微软雅黑" w:cs="微软雅黑"/>
          <w:b/>
          <w:sz w:val="24"/>
        </w:rPr>
      </w:pPr>
    </w:p>
    <w:p w14:paraId="7ED5FB51">
      <w:pPr>
        <w:tabs>
          <w:tab w:val="left" w:pos="7195"/>
        </w:tabs>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lang w:val="en-US" w:eastAsia="zh-CN"/>
        </w:rPr>
        <w:t>八</w:t>
      </w:r>
      <w:r>
        <w:rPr>
          <w:rFonts w:hint="eastAsia" w:ascii="微软雅黑" w:hAnsi="微软雅黑" w:eastAsia="微软雅黑" w:cs="微软雅黑"/>
          <w:b/>
          <w:sz w:val="24"/>
        </w:rPr>
        <w:t>、供货范围</w:t>
      </w:r>
    </w:p>
    <w:p w14:paraId="28D40491">
      <w:pPr>
        <w:pStyle w:val="5"/>
        <w:keepNext w:val="0"/>
        <w:keepLines w:val="0"/>
        <w:numPr>
          <w:ilvl w:val="0"/>
          <w:numId w:val="0"/>
        </w:numPr>
        <w:tabs>
          <w:tab w:val="left" w:pos="-2520"/>
        </w:tabs>
        <w:spacing w:before="0" w:after="0" w:line="480" w:lineRule="exact"/>
        <w:ind w:leftChars="0"/>
        <w:jc w:val="both"/>
        <w:rPr>
          <w:rFonts w:hint="eastAsia" w:ascii="微软雅黑" w:hAnsi="微软雅黑" w:eastAsia="微软雅黑" w:cs="微软雅黑"/>
          <w:bCs w:val="0"/>
          <w:color w:val="auto"/>
          <w:kern w:val="0"/>
          <w:sz w:val="24"/>
          <w:szCs w:val="24"/>
        </w:rPr>
      </w:pPr>
      <w:bookmarkStart w:id="60" w:name="_Toc342317351"/>
      <w:bookmarkStart w:id="61" w:name="_Toc341774189"/>
      <w:bookmarkStart w:id="62" w:name="_Toc341700056"/>
      <w:bookmarkStart w:id="63" w:name="_Toc364239874"/>
      <w:bookmarkStart w:id="64" w:name="_Toc425500046"/>
      <w:bookmarkStart w:id="65" w:name="_Toc122529405"/>
      <w:bookmarkStart w:id="66" w:name="_Toc116926656"/>
      <w:bookmarkStart w:id="67" w:name="_Toc341700005"/>
      <w:bookmarkStart w:id="68" w:name="_Toc335143853"/>
      <w:bookmarkStart w:id="69" w:name="_Toc425500103"/>
      <w:r>
        <w:rPr>
          <w:rFonts w:hint="eastAsia" w:ascii="微软雅黑" w:hAnsi="微软雅黑" w:eastAsia="微软雅黑" w:cs="微软雅黑"/>
          <w:bCs w:val="0"/>
          <w:color w:val="auto"/>
          <w:kern w:val="0"/>
          <w:sz w:val="24"/>
          <w:szCs w:val="24"/>
          <w:lang w:val="en-US" w:eastAsia="zh-CN"/>
        </w:rPr>
        <w:t>8.1</w:t>
      </w:r>
      <w:r>
        <w:rPr>
          <w:rFonts w:hint="eastAsia" w:ascii="微软雅黑" w:hAnsi="微软雅黑" w:eastAsia="微软雅黑" w:cs="微软雅黑"/>
          <w:bCs w:val="0"/>
          <w:color w:val="auto"/>
          <w:kern w:val="0"/>
          <w:sz w:val="24"/>
          <w:szCs w:val="24"/>
        </w:rPr>
        <w:t>一般要求</w:t>
      </w:r>
      <w:bookmarkEnd w:id="60"/>
      <w:bookmarkEnd w:id="61"/>
      <w:bookmarkEnd w:id="62"/>
      <w:bookmarkEnd w:id="63"/>
      <w:bookmarkEnd w:id="64"/>
      <w:bookmarkEnd w:id="65"/>
      <w:bookmarkEnd w:id="66"/>
      <w:bookmarkEnd w:id="67"/>
      <w:bookmarkEnd w:id="68"/>
      <w:bookmarkEnd w:id="69"/>
    </w:p>
    <w:p w14:paraId="6863E424">
      <w:pPr>
        <w:numPr>
          <w:ilvl w:val="0"/>
          <w:numId w:val="0"/>
        </w:numPr>
        <w:tabs>
          <w:tab w:val="left" w:pos="420"/>
        </w:tabs>
        <w:spacing w:line="480" w:lineRule="exact"/>
        <w:ind w:leftChars="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8.1.1</w:t>
      </w:r>
      <w:r>
        <w:rPr>
          <w:rFonts w:hint="eastAsia" w:ascii="微软雅黑" w:hAnsi="微软雅黑" w:eastAsia="微软雅黑" w:cs="微软雅黑"/>
          <w:color w:val="auto"/>
          <w:sz w:val="24"/>
          <w:szCs w:val="24"/>
        </w:rPr>
        <w:t>本附件规定了合同设备的供货范围。投标方应保证提供的设备为全新的、先进的、成熟的、完整的和安全可靠的。</w:t>
      </w:r>
    </w:p>
    <w:p w14:paraId="048A3B1E">
      <w:pPr>
        <w:numPr>
          <w:ilvl w:val="0"/>
          <w:numId w:val="0"/>
        </w:numPr>
        <w:tabs>
          <w:tab w:val="left" w:pos="420"/>
        </w:tabs>
        <w:spacing w:line="480" w:lineRule="exact"/>
        <w:ind w:leftChars="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8.1.2</w:t>
      </w:r>
      <w:r>
        <w:rPr>
          <w:rFonts w:hint="eastAsia" w:ascii="微软雅黑" w:hAnsi="微软雅黑" w:eastAsia="微软雅黑" w:cs="微软雅黑"/>
          <w:color w:val="auto"/>
          <w:sz w:val="24"/>
          <w:szCs w:val="24"/>
        </w:rPr>
        <w:t>投标方应提供所有安装和检修所需专用工具和消耗材料等，并应提供详细供货清单。</w:t>
      </w:r>
    </w:p>
    <w:p w14:paraId="487305D3">
      <w:pPr>
        <w:pStyle w:val="5"/>
        <w:keepNext w:val="0"/>
        <w:keepLines w:val="0"/>
        <w:numPr>
          <w:ilvl w:val="0"/>
          <w:numId w:val="0"/>
        </w:numPr>
        <w:tabs>
          <w:tab w:val="left" w:pos="-2520"/>
        </w:tabs>
        <w:spacing w:before="0" w:after="0" w:line="480" w:lineRule="exact"/>
        <w:ind w:leftChars="0"/>
        <w:jc w:val="both"/>
        <w:rPr>
          <w:rFonts w:hint="eastAsia" w:ascii="微软雅黑" w:hAnsi="微软雅黑" w:eastAsia="微软雅黑" w:cs="微软雅黑"/>
          <w:bCs w:val="0"/>
          <w:color w:val="auto"/>
          <w:kern w:val="0"/>
          <w:sz w:val="24"/>
          <w:szCs w:val="24"/>
        </w:rPr>
      </w:pPr>
      <w:bookmarkStart w:id="70" w:name="_Toc425500104"/>
      <w:bookmarkStart w:id="71" w:name="_Toc54597776"/>
      <w:bookmarkStart w:id="72" w:name="_Toc341774190"/>
      <w:bookmarkStart w:id="73" w:name="_Toc341700057"/>
      <w:bookmarkStart w:id="74" w:name="_Toc364239875"/>
      <w:bookmarkStart w:id="75" w:name="_Toc342317352"/>
      <w:bookmarkStart w:id="76" w:name="_Toc341700006"/>
      <w:bookmarkStart w:id="77" w:name="_Toc64105419"/>
      <w:bookmarkStart w:id="78" w:name="_Toc122529406"/>
      <w:bookmarkStart w:id="79" w:name="_Toc54597688"/>
      <w:bookmarkStart w:id="80" w:name="_Toc425500047"/>
      <w:bookmarkStart w:id="81" w:name="_Toc54771277"/>
      <w:bookmarkStart w:id="82" w:name="_Toc335143854"/>
      <w:bookmarkStart w:id="83" w:name="_Toc116926657"/>
      <w:r>
        <w:rPr>
          <w:rFonts w:hint="eastAsia" w:ascii="微软雅黑" w:hAnsi="微软雅黑" w:eastAsia="微软雅黑" w:cs="微软雅黑"/>
          <w:bCs w:val="0"/>
          <w:color w:val="auto"/>
          <w:kern w:val="0"/>
          <w:sz w:val="24"/>
          <w:szCs w:val="24"/>
          <w:lang w:val="en-US" w:eastAsia="zh-CN"/>
        </w:rPr>
        <w:t>8.2</w:t>
      </w:r>
      <w:r>
        <w:rPr>
          <w:rFonts w:hint="eastAsia" w:ascii="微软雅黑" w:hAnsi="微软雅黑" w:eastAsia="微软雅黑" w:cs="微软雅黑"/>
          <w:bCs w:val="0"/>
          <w:color w:val="auto"/>
          <w:kern w:val="0"/>
          <w:sz w:val="24"/>
          <w:szCs w:val="24"/>
        </w:rPr>
        <w:t>供货范围</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00D99973">
      <w:pPr>
        <w:numPr>
          <w:ilvl w:val="0"/>
          <w:numId w:val="0"/>
        </w:numPr>
        <w:spacing w:line="480" w:lineRule="exact"/>
        <w:ind w:leftChars="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lang w:val="en-US" w:eastAsia="zh-CN"/>
        </w:rPr>
        <w:t>8.2.1</w:t>
      </w:r>
      <w:r>
        <w:rPr>
          <w:rFonts w:hint="eastAsia" w:ascii="微软雅黑" w:hAnsi="微软雅黑" w:eastAsia="微软雅黑" w:cs="微软雅黑"/>
          <w:color w:val="auto"/>
          <w:sz w:val="24"/>
          <w:szCs w:val="24"/>
        </w:rPr>
        <w:t>设备范围</w:t>
      </w:r>
    </w:p>
    <w:p w14:paraId="017DF47B">
      <w:pPr>
        <w:spacing w:line="480" w:lineRule="exact"/>
        <w:ind w:firstLine="480" w:firstLineChars="20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投标方的基本供货范围是提供</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台功能完整的除铁器设备及材料，</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套设备具体项目如下：</w:t>
      </w:r>
    </w:p>
    <w:p w14:paraId="156E63DD">
      <w:pPr>
        <w:numPr>
          <w:ilvl w:val="0"/>
          <w:numId w:val="0"/>
        </w:numPr>
        <w:tabs>
          <w:tab w:val="left" w:pos="560"/>
        </w:tabs>
        <w:spacing w:line="480" w:lineRule="exact"/>
        <w:ind w:leftChars="0"/>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8.2.2</w:t>
      </w:r>
      <w:r>
        <w:rPr>
          <w:rFonts w:hint="eastAsia" w:ascii="微软雅黑" w:hAnsi="微软雅黑" w:eastAsia="微软雅黑" w:cs="微软雅黑"/>
          <w:sz w:val="24"/>
          <w:szCs w:val="24"/>
        </w:rPr>
        <w:t>功能完整的电磁除铁器设备及材料，包括本机全部机械设备，吊挂行车机构等。</w:t>
      </w:r>
    </w:p>
    <w:p w14:paraId="7619B031">
      <w:pPr>
        <w:numPr>
          <w:ilvl w:val="0"/>
          <w:numId w:val="0"/>
        </w:numPr>
        <w:tabs>
          <w:tab w:val="left" w:pos="560"/>
        </w:tabs>
        <w:spacing w:line="480" w:lineRule="exact"/>
        <w:ind w:leftChars="0"/>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8.2.3</w:t>
      </w:r>
      <w:r>
        <w:rPr>
          <w:rFonts w:hint="eastAsia" w:ascii="微软雅黑" w:hAnsi="微软雅黑" w:eastAsia="微软雅黑" w:cs="微软雅黑"/>
          <w:sz w:val="24"/>
          <w:szCs w:val="24"/>
        </w:rPr>
        <w:t>电气控制系统设备，包含控制柜和控制箱与</w:t>
      </w:r>
      <w:r>
        <w:rPr>
          <w:rFonts w:hint="eastAsia" w:ascii="微软雅黑" w:hAnsi="微软雅黑" w:eastAsia="微软雅黑" w:cs="微软雅黑"/>
          <w:sz w:val="24"/>
          <w:szCs w:val="24"/>
          <w:lang w:val="en-US" w:eastAsia="zh-CN"/>
        </w:rPr>
        <w:t>本体</w:t>
      </w:r>
      <w:r>
        <w:rPr>
          <w:rFonts w:hint="eastAsia" w:ascii="微软雅黑" w:hAnsi="微软雅黑" w:eastAsia="微软雅黑" w:cs="微软雅黑"/>
          <w:sz w:val="24"/>
          <w:szCs w:val="24"/>
        </w:rPr>
        <w:t>之间的所有电缆等</w:t>
      </w:r>
      <w:bookmarkStart w:id="84" w:name="_Toc67474241"/>
      <w:bookmarkStart w:id="85" w:name="_Toc64105424"/>
      <w:bookmarkStart w:id="86" w:name="_Toc61921392"/>
      <w:bookmarkStart w:id="87" w:name="_Toc61665234"/>
      <w:r>
        <w:rPr>
          <w:rFonts w:hint="eastAsia" w:ascii="微软雅黑" w:hAnsi="微软雅黑" w:eastAsia="微软雅黑" w:cs="微软雅黑"/>
          <w:sz w:val="24"/>
          <w:szCs w:val="24"/>
        </w:rPr>
        <w:t>。</w:t>
      </w:r>
      <w:bookmarkEnd w:id="84"/>
      <w:bookmarkEnd w:id="85"/>
      <w:bookmarkEnd w:id="86"/>
      <w:bookmarkEnd w:id="87"/>
    </w:p>
    <w:p w14:paraId="702B3FAC">
      <w:pPr>
        <w:numPr>
          <w:ilvl w:val="0"/>
          <w:numId w:val="0"/>
        </w:numPr>
        <w:spacing w:line="360" w:lineRule="auto"/>
        <w:ind w:leftChars="0"/>
        <w:jc w:val="both"/>
        <w:rPr>
          <w:rFonts w:hint="eastAsia" w:ascii="微软雅黑" w:hAnsi="微软雅黑" w:eastAsia="微软雅黑" w:cs="微软雅黑"/>
          <w:sz w:val="24"/>
          <w:szCs w:val="24"/>
        </w:rPr>
      </w:pPr>
      <w:r>
        <w:rPr>
          <w:rFonts w:hint="eastAsia" w:ascii="微软雅黑" w:hAnsi="微软雅黑" w:eastAsia="微软雅黑" w:cs="微软雅黑"/>
          <w:kern w:val="2"/>
          <w:sz w:val="24"/>
          <w:szCs w:val="24"/>
          <w:lang w:val="en-US" w:eastAsia="zh-CN"/>
        </w:rPr>
        <w:t>8.2.4</w:t>
      </w:r>
      <w:r>
        <w:rPr>
          <w:rFonts w:hint="eastAsia" w:ascii="微软雅黑" w:hAnsi="微软雅黑" w:eastAsia="微软雅黑" w:cs="微软雅黑"/>
          <w:kern w:val="2"/>
          <w:sz w:val="24"/>
          <w:szCs w:val="24"/>
        </w:rPr>
        <w:t>详细供货范围（供货明细表由投标方填写）</w:t>
      </w:r>
    </w:p>
    <w:tbl>
      <w:tblPr>
        <w:tblStyle w:val="25"/>
        <w:tblW w:w="77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6"/>
        <w:gridCol w:w="1897"/>
        <w:gridCol w:w="1664"/>
        <w:gridCol w:w="720"/>
        <w:gridCol w:w="986"/>
        <w:gridCol w:w="1738"/>
      </w:tblGrid>
      <w:tr w14:paraId="08E3A7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26" w:type="dxa"/>
            <w:vAlign w:val="center"/>
          </w:tcPr>
          <w:p w14:paraId="49FBB238">
            <w:pPr>
              <w:keepNext w:val="0"/>
              <w:keepLines w:val="0"/>
              <w:pageBreakBefore w:val="0"/>
              <w:widowControl w:val="0"/>
              <w:kinsoku/>
              <w:wordWrap/>
              <w:overflowPunct/>
              <w:topLinePunct w:val="0"/>
              <w:bidi w:val="0"/>
              <w:adjustRightInd w:val="0"/>
              <w:snapToGrid w:val="0"/>
              <w:spacing w:line="360" w:lineRule="auto"/>
              <w:ind w:left="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序号</w:t>
            </w:r>
          </w:p>
        </w:tc>
        <w:tc>
          <w:tcPr>
            <w:tcW w:w="1897" w:type="dxa"/>
            <w:vAlign w:val="center"/>
          </w:tcPr>
          <w:p w14:paraId="6A46A5BA">
            <w:pPr>
              <w:keepNext w:val="0"/>
              <w:keepLines w:val="0"/>
              <w:pageBreakBefore w:val="0"/>
              <w:widowControl w:val="0"/>
              <w:kinsoku/>
              <w:wordWrap/>
              <w:overflowPunct/>
              <w:topLinePunct w:val="0"/>
              <w:bidi w:val="0"/>
              <w:adjustRightInd w:val="0"/>
              <w:snapToGrid w:val="0"/>
              <w:spacing w:line="360" w:lineRule="auto"/>
              <w:ind w:left="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名   称</w:t>
            </w:r>
          </w:p>
        </w:tc>
        <w:tc>
          <w:tcPr>
            <w:tcW w:w="1664" w:type="dxa"/>
            <w:vAlign w:val="center"/>
          </w:tcPr>
          <w:p w14:paraId="408CFAB4">
            <w:pPr>
              <w:keepNext w:val="0"/>
              <w:keepLines w:val="0"/>
              <w:pageBreakBefore w:val="0"/>
              <w:widowControl w:val="0"/>
              <w:kinsoku/>
              <w:wordWrap/>
              <w:overflowPunct/>
              <w:topLinePunct w:val="0"/>
              <w:bidi w:val="0"/>
              <w:adjustRightInd w:val="0"/>
              <w:snapToGrid w:val="0"/>
              <w:spacing w:line="360" w:lineRule="auto"/>
              <w:ind w:left="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规格型号</w:t>
            </w:r>
          </w:p>
        </w:tc>
        <w:tc>
          <w:tcPr>
            <w:tcW w:w="720" w:type="dxa"/>
            <w:vAlign w:val="center"/>
          </w:tcPr>
          <w:p w14:paraId="75A7FA79">
            <w:pPr>
              <w:keepNext w:val="0"/>
              <w:keepLines w:val="0"/>
              <w:pageBreakBefore w:val="0"/>
              <w:widowControl w:val="0"/>
              <w:kinsoku/>
              <w:wordWrap/>
              <w:overflowPunct/>
              <w:topLinePunct w:val="0"/>
              <w:bidi w:val="0"/>
              <w:adjustRightInd w:val="0"/>
              <w:snapToGrid w:val="0"/>
              <w:spacing w:line="360" w:lineRule="auto"/>
              <w:ind w:left="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数量</w:t>
            </w:r>
          </w:p>
        </w:tc>
        <w:tc>
          <w:tcPr>
            <w:tcW w:w="986" w:type="dxa"/>
            <w:vAlign w:val="center"/>
          </w:tcPr>
          <w:p w14:paraId="657B8CEE">
            <w:pPr>
              <w:keepNext w:val="0"/>
              <w:keepLines w:val="0"/>
              <w:pageBreakBefore w:val="0"/>
              <w:widowControl w:val="0"/>
              <w:kinsoku/>
              <w:wordWrap/>
              <w:overflowPunct/>
              <w:topLinePunct w:val="0"/>
              <w:bidi w:val="0"/>
              <w:adjustRightInd w:val="0"/>
              <w:snapToGrid w:val="0"/>
              <w:spacing w:line="360" w:lineRule="auto"/>
              <w:ind w:left="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产地</w:t>
            </w:r>
          </w:p>
        </w:tc>
        <w:tc>
          <w:tcPr>
            <w:tcW w:w="1738" w:type="dxa"/>
            <w:vAlign w:val="center"/>
          </w:tcPr>
          <w:p w14:paraId="49044D6B">
            <w:pPr>
              <w:keepNext w:val="0"/>
              <w:keepLines w:val="0"/>
              <w:pageBreakBefore w:val="0"/>
              <w:widowControl w:val="0"/>
              <w:kinsoku/>
              <w:wordWrap/>
              <w:overflowPunct/>
              <w:topLinePunct w:val="0"/>
              <w:bidi w:val="0"/>
              <w:adjustRightInd w:val="0"/>
              <w:snapToGrid w:val="0"/>
              <w:spacing w:line="360" w:lineRule="auto"/>
              <w:ind w:left="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备注</w:t>
            </w:r>
          </w:p>
        </w:tc>
      </w:tr>
      <w:tr w14:paraId="569DA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60705C35">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bookmarkStart w:id="88" w:name="_Toc54597696"/>
            <w:bookmarkStart w:id="89" w:name="_Toc64105432"/>
            <w:bookmarkStart w:id="90" w:name="_Toc54771285"/>
            <w:bookmarkStart w:id="91" w:name="_Toc54597784"/>
            <w:r>
              <w:rPr>
                <w:rFonts w:hint="eastAsia" w:ascii="微软雅黑" w:hAnsi="微软雅黑" w:eastAsia="微软雅黑" w:cs="微软雅黑"/>
                <w:sz w:val="24"/>
                <w:szCs w:val="24"/>
                <w:lang w:val="en-US" w:eastAsia="zh-CN"/>
              </w:rPr>
              <w:t>1</w:t>
            </w:r>
          </w:p>
        </w:tc>
        <w:tc>
          <w:tcPr>
            <w:tcW w:w="1897" w:type="dxa"/>
            <w:vAlign w:val="center"/>
          </w:tcPr>
          <w:p w14:paraId="74B23A38">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盘式电磁除铁器</w:t>
            </w:r>
          </w:p>
        </w:tc>
        <w:tc>
          <w:tcPr>
            <w:tcW w:w="1664" w:type="dxa"/>
            <w:vAlign w:val="center"/>
          </w:tcPr>
          <w:p w14:paraId="75043FCF">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color w:val="auto"/>
                <w:sz w:val="21"/>
                <w:szCs w:val="21"/>
                <w:highlight w:val="none"/>
                <w:lang w:val="en-US" w:eastAsia="zh-CN"/>
              </w:rPr>
              <w:t>RCDB-12T2</w:t>
            </w:r>
          </w:p>
        </w:tc>
        <w:tc>
          <w:tcPr>
            <w:tcW w:w="720" w:type="dxa"/>
            <w:vAlign w:val="center"/>
          </w:tcPr>
          <w:p w14:paraId="1268D2B8">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2台</w:t>
            </w:r>
          </w:p>
        </w:tc>
        <w:tc>
          <w:tcPr>
            <w:tcW w:w="986" w:type="dxa"/>
            <w:vAlign w:val="center"/>
          </w:tcPr>
          <w:p w14:paraId="562C2CFE">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09D8B482">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p>
        </w:tc>
      </w:tr>
      <w:tr w14:paraId="257AF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5E023351">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rPr>
              <w:t>2</w:t>
            </w:r>
          </w:p>
        </w:tc>
        <w:tc>
          <w:tcPr>
            <w:tcW w:w="1897" w:type="dxa"/>
            <w:vAlign w:val="center"/>
          </w:tcPr>
          <w:p w14:paraId="3116647B">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不锈钢控制柜</w:t>
            </w:r>
          </w:p>
        </w:tc>
        <w:tc>
          <w:tcPr>
            <w:tcW w:w="1664" w:type="dxa"/>
            <w:vAlign w:val="center"/>
          </w:tcPr>
          <w:p w14:paraId="37E1D204">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KGLA</w:t>
            </w:r>
          </w:p>
        </w:tc>
        <w:tc>
          <w:tcPr>
            <w:tcW w:w="720" w:type="dxa"/>
            <w:vAlign w:val="center"/>
          </w:tcPr>
          <w:p w14:paraId="578EC7C4">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2台</w:t>
            </w:r>
          </w:p>
        </w:tc>
        <w:tc>
          <w:tcPr>
            <w:tcW w:w="986" w:type="dxa"/>
            <w:vAlign w:val="center"/>
          </w:tcPr>
          <w:p w14:paraId="1A9B51C6">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1553AB87">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宋体" w:hAnsi="宋体" w:eastAsia="宋体" w:cs="宋体"/>
                <w:color w:val="auto"/>
                <w:sz w:val="21"/>
                <w:szCs w:val="21"/>
                <w:highlight w:val="none"/>
                <w:lang w:val="en-US" w:eastAsia="zh-CN"/>
              </w:rPr>
              <w:t>304材质，壁厚≥2mm, 防护等级IP56</w:t>
            </w:r>
          </w:p>
        </w:tc>
      </w:tr>
      <w:tr w14:paraId="00FB28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2A82605F">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rPr>
              <w:t>3</w:t>
            </w:r>
          </w:p>
        </w:tc>
        <w:tc>
          <w:tcPr>
            <w:tcW w:w="1897" w:type="dxa"/>
            <w:vAlign w:val="center"/>
          </w:tcPr>
          <w:p w14:paraId="4B683E14">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吊具</w:t>
            </w:r>
          </w:p>
        </w:tc>
        <w:tc>
          <w:tcPr>
            <w:tcW w:w="1664" w:type="dxa"/>
            <w:vAlign w:val="center"/>
          </w:tcPr>
          <w:p w14:paraId="713E0707">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适配RCDB-12T2</w:t>
            </w:r>
          </w:p>
        </w:tc>
        <w:tc>
          <w:tcPr>
            <w:tcW w:w="720" w:type="dxa"/>
            <w:vAlign w:val="center"/>
          </w:tcPr>
          <w:p w14:paraId="0AC7B7D8">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2套</w:t>
            </w:r>
          </w:p>
        </w:tc>
        <w:tc>
          <w:tcPr>
            <w:tcW w:w="986" w:type="dxa"/>
            <w:vAlign w:val="center"/>
          </w:tcPr>
          <w:p w14:paraId="694CB4FF">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5E2A3506">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p>
        </w:tc>
      </w:tr>
      <w:tr w14:paraId="4209B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3621E1AE">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rPr>
              <w:t>4</w:t>
            </w:r>
          </w:p>
        </w:tc>
        <w:tc>
          <w:tcPr>
            <w:tcW w:w="1897" w:type="dxa"/>
            <w:vAlign w:val="center"/>
          </w:tcPr>
          <w:p w14:paraId="5BB42317">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电动小车</w:t>
            </w:r>
          </w:p>
        </w:tc>
        <w:tc>
          <w:tcPr>
            <w:tcW w:w="1664" w:type="dxa"/>
            <w:vAlign w:val="center"/>
          </w:tcPr>
          <w:p w14:paraId="18CD7FC8">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10T</w:t>
            </w:r>
          </w:p>
        </w:tc>
        <w:tc>
          <w:tcPr>
            <w:tcW w:w="720" w:type="dxa"/>
            <w:vAlign w:val="center"/>
          </w:tcPr>
          <w:p w14:paraId="73F035B7">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2套</w:t>
            </w:r>
          </w:p>
        </w:tc>
        <w:tc>
          <w:tcPr>
            <w:tcW w:w="986" w:type="dxa"/>
            <w:vAlign w:val="center"/>
          </w:tcPr>
          <w:p w14:paraId="79F86A36">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6A63154E">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bidi="ar-SA"/>
              </w:rPr>
              <w:t>1.5KW</w:t>
            </w:r>
          </w:p>
        </w:tc>
      </w:tr>
      <w:tr w14:paraId="632D9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1F7BE669">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5</w:t>
            </w:r>
          </w:p>
        </w:tc>
        <w:tc>
          <w:tcPr>
            <w:tcW w:w="1897" w:type="dxa"/>
            <w:vAlign w:val="center"/>
          </w:tcPr>
          <w:p w14:paraId="7E990680">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行程开关</w:t>
            </w:r>
          </w:p>
        </w:tc>
        <w:tc>
          <w:tcPr>
            <w:tcW w:w="1664" w:type="dxa"/>
            <w:vAlign w:val="center"/>
          </w:tcPr>
          <w:p w14:paraId="7D8CA952">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适配</w:t>
            </w:r>
          </w:p>
        </w:tc>
        <w:tc>
          <w:tcPr>
            <w:tcW w:w="720" w:type="dxa"/>
            <w:vAlign w:val="center"/>
          </w:tcPr>
          <w:p w14:paraId="7DC36A59">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2套</w:t>
            </w:r>
          </w:p>
        </w:tc>
        <w:tc>
          <w:tcPr>
            <w:tcW w:w="986" w:type="dxa"/>
            <w:vAlign w:val="center"/>
          </w:tcPr>
          <w:p w14:paraId="0F0517B8">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146315B6">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rPr>
              <w:t>欧姆龙</w:t>
            </w:r>
          </w:p>
        </w:tc>
      </w:tr>
      <w:tr w14:paraId="7BFEE9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56422FAD">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6</w:t>
            </w:r>
          </w:p>
        </w:tc>
        <w:tc>
          <w:tcPr>
            <w:tcW w:w="1897" w:type="dxa"/>
            <w:vAlign w:val="center"/>
          </w:tcPr>
          <w:p w14:paraId="2E2D3558">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滑轮带轨道</w:t>
            </w:r>
          </w:p>
        </w:tc>
        <w:tc>
          <w:tcPr>
            <w:tcW w:w="1664" w:type="dxa"/>
            <w:vAlign w:val="center"/>
          </w:tcPr>
          <w:p w14:paraId="382EF4F6">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适配</w:t>
            </w:r>
          </w:p>
        </w:tc>
        <w:tc>
          <w:tcPr>
            <w:tcW w:w="720" w:type="dxa"/>
            <w:vAlign w:val="center"/>
          </w:tcPr>
          <w:p w14:paraId="1FFB4063">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2套</w:t>
            </w:r>
          </w:p>
        </w:tc>
        <w:tc>
          <w:tcPr>
            <w:tcW w:w="986" w:type="dxa"/>
            <w:vAlign w:val="center"/>
          </w:tcPr>
          <w:p w14:paraId="56EFDDDC">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76BCB10D">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钢丝绳、花篮螺丝、滑轮</w:t>
            </w:r>
          </w:p>
        </w:tc>
      </w:tr>
      <w:tr w14:paraId="27DFD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2C496B97">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rPr>
              <w:t>7</w:t>
            </w:r>
          </w:p>
        </w:tc>
        <w:tc>
          <w:tcPr>
            <w:tcW w:w="1897" w:type="dxa"/>
            <w:vAlign w:val="center"/>
          </w:tcPr>
          <w:p w14:paraId="613B4019">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控制柜至除铁器本体之间的电缆</w:t>
            </w:r>
          </w:p>
        </w:tc>
        <w:tc>
          <w:tcPr>
            <w:tcW w:w="1664" w:type="dxa"/>
            <w:vAlign w:val="center"/>
          </w:tcPr>
          <w:p w14:paraId="7BF75E43">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4芯矿用阻燃抗静电电缆（4×10mm²）</w:t>
            </w:r>
          </w:p>
        </w:tc>
        <w:tc>
          <w:tcPr>
            <w:tcW w:w="720" w:type="dxa"/>
            <w:vAlign w:val="center"/>
          </w:tcPr>
          <w:p w14:paraId="2C4F8E77">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2套</w:t>
            </w:r>
          </w:p>
        </w:tc>
        <w:tc>
          <w:tcPr>
            <w:tcW w:w="986" w:type="dxa"/>
            <w:vAlign w:val="center"/>
          </w:tcPr>
          <w:p w14:paraId="646931D5">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vAlign w:val="center"/>
          </w:tcPr>
          <w:p w14:paraId="19EE87C2">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bidi="ar-SA"/>
              </w:rPr>
            </w:pPr>
            <w:r>
              <w:rPr>
                <w:rFonts w:hint="eastAsia" w:ascii="微软雅黑" w:hAnsi="微软雅黑" w:eastAsia="微软雅黑" w:cs="微软雅黑"/>
                <w:sz w:val="24"/>
                <w:szCs w:val="24"/>
                <w:lang w:val="en-US" w:eastAsia="zh-CN"/>
              </w:rPr>
              <w:t>30米/每套</w:t>
            </w:r>
          </w:p>
        </w:tc>
      </w:tr>
      <w:tr w14:paraId="31B7E1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26" w:type="dxa"/>
            <w:vAlign w:val="center"/>
          </w:tcPr>
          <w:p w14:paraId="00A39BDD">
            <w:pPr>
              <w:keepNext w:val="0"/>
              <w:keepLines w:val="0"/>
              <w:pageBreakBefore w:val="0"/>
              <w:widowControl w:val="0"/>
              <w:kinsoku/>
              <w:wordWrap/>
              <w:overflowPunct/>
              <w:topLinePunct w:val="0"/>
              <w:bidi w:val="0"/>
              <w:adjustRightInd w:val="0"/>
              <w:snapToGrid w:val="0"/>
              <w:spacing w:line="360" w:lineRule="auto"/>
              <w:ind w:left="0" w:leftChars="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8</w:t>
            </w:r>
          </w:p>
        </w:tc>
        <w:tc>
          <w:tcPr>
            <w:tcW w:w="1897" w:type="dxa"/>
            <w:vAlign w:val="center"/>
          </w:tcPr>
          <w:p w14:paraId="6859241A">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控制柜至小车之间的电缆</w:t>
            </w:r>
          </w:p>
        </w:tc>
        <w:tc>
          <w:tcPr>
            <w:tcW w:w="1664" w:type="dxa"/>
            <w:vAlign w:val="center"/>
          </w:tcPr>
          <w:p w14:paraId="76FA9240">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4芯矿用阻燃抗静电电缆（4×2.5mm²）</w:t>
            </w:r>
          </w:p>
        </w:tc>
        <w:tc>
          <w:tcPr>
            <w:tcW w:w="720" w:type="dxa"/>
            <w:shd w:val="clear" w:color="auto" w:fill="auto"/>
            <w:vAlign w:val="center"/>
          </w:tcPr>
          <w:p w14:paraId="595BB164">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2套</w:t>
            </w:r>
          </w:p>
        </w:tc>
        <w:tc>
          <w:tcPr>
            <w:tcW w:w="986" w:type="dxa"/>
            <w:shd w:val="clear" w:color="auto" w:fill="auto"/>
            <w:vAlign w:val="center"/>
          </w:tcPr>
          <w:p w14:paraId="462A8AF7">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p>
        </w:tc>
        <w:tc>
          <w:tcPr>
            <w:tcW w:w="1738" w:type="dxa"/>
            <w:shd w:val="clear" w:color="auto" w:fill="auto"/>
            <w:vAlign w:val="center"/>
          </w:tcPr>
          <w:p w14:paraId="1E41A5BB">
            <w:pPr>
              <w:keepNext w:val="0"/>
              <w:keepLines w:val="0"/>
              <w:pageBreakBefore w:val="0"/>
              <w:widowControl w:val="0"/>
              <w:kinsoku/>
              <w:wordWrap/>
              <w:overflowPunct/>
              <w:topLinePunct w:val="0"/>
              <w:bidi w:val="0"/>
              <w:adjustRightInd w:val="0"/>
              <w:snapToGrid w:val="0"/>
              <w:spacing w:line="360" w:lineRule="auto"/>
              <w:ind w:left="0" w:left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sz w:val="24"/>
                <w:szCs w:val="24"/>
                <w:lang w:val="en-US" w:eastAsia="zh-CN"/>
              </w:rPr>
              <w:t>30米/每套</w:t>
            </w:r>
          </w:p>
        </w:tc>
      </w:tr>
      <w:bookmarkEnd w:id="88"/>
      <w:bookmarkEnd w:id="89"/>
      <w:bookmarkEnd w:id="90"/>
      <w:bookmarkEnd w:id="91"/>
    </w:tbl>
    <w:p w14:paraId="1A90A0F3">
      <w:pPr>
        <w:spacing w:line="240" w:lineRule="exact"/>
        <w:rPr>
          <w:rFonts w:hint="eastAsia" w:ascii="微软雅黑" w:hAnsi="微软雅黑" w:eastAsia="微软雅黑" w:cs="微软雅黑"/>
          <w:sz w:val="24"/>
        </w:rPr>
      </w:pPr>
    </w:p>
    <w:p w14:paraId="29E95F12">
      <w:pPr>
        <w:numPr>
          <w:ilvl w:val="0"/>
          <w:numId w:val="0"/>
        </w:numPr>
        <w:spacing w:line="480" w:lineRule="exact"/>
        <w:ind w:leftChars="0"/>
        <w:rPr>
          <w:rFonts w:hint="eastAsia" w:ascii="微软雅黑" w:hAnsi="微软雅黑" w:eastAsia="微软雅黑" w:cs="微软雅黑"/>
          <w:sz w:val="24"/>
        </w:rPr>
      </w:pPr>
      <w:r>
        <w:rPr>
          <w:rFonts w:hint="eastAsia" w:ascii="微软雅黑" w:hAnsi="微软雅黑" w:eastAsia="微软雅黑" w:cs="微软雅黑"/>
          <w:sz w:val="24"/>
          <w:lang w:val="en-US" w:eastAsia="zh-CN"/>
        </w:rPr>
        <w:t>8.3</w:t>
      </w:r>
      <w:r>
        <w:rPr>
          <w:rFonts w:hint="eastAsia" w:ascii="微软雅黑" w:hAnsi="微软雅黑" w:eastAsia="微软雅黑" w:cs="微软雅黑"/>
          <w:b/>
          <w:bCs/>
          <w:sz w:val="24"/>
        </w:rPr>
        <w:t>备品备件</w:t>
      </w:r>
    </w:p>
    <w:p w14:paraId="315A6513">
      <w:pPr>
        <w:numPr>
          <w:ilvl w:val="0"/>
          <w:numId w:val="5"/>
        </w:numPr>
        <w:tabs>
          <w:tab w:val="left" w:pos="668"/>
          <w:tab w:val="left" w:pos="808"/>
          <w:tab w:val="clear" w:pos="360"/>
        </w:tabs>
        <w:adjustRightInd w:val="0"/>
        <w:snapToGrid w:val="0"/>
        <w:spacing w:line="480" w:lineRule="exact"/>
        <w:ind w:left="0"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安装、调试及试运行所需的的备品备件：投标人应提供设备在安装、调试及试运行期间，为了保证设备安装、调试顺利进行所需的备品备件，清单上有的应无偿提供，清单上没有的，投标人应根据实际情况需要提供，以免造成缺件时发货和运输的麻烦；投标人应提供备品备件及易损件的加工制造图。</w:t>
      </w:r>
    </w:p>
    <w:p w14:paraId="26E90106">
      <w:pPr>
        <w:numPr>
          <w:ilvl w:val="0"/>
          <w:numId w:val="5"/>
        </w:numPr>
        <w:tabs>
          <w:tab w:val="left" w:pos="668"/>
          <w:tab w:val="left" w:pos="808"/>
          <w:tab w:val="clear" w:pos="360"/>
        </w:tabs>
        <w:adjustRightInd w:val="0"/>
        <w:snapToGrid w:val="0"/>
        <w:spacing w:line="480" w:lineRule="exact"/>
        <w:ind w:left="0"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投标方质保期产品质量保证：在质保期内，属于产品质量问题损坏的，应由投标方无偿提供和免费维修更换；超出保质期的，投标方也应积极配合招标方解决设备出现的问题。</w:t>
      </w:r>
    </w:p>
    <w:p w14:paraId="19F3A105">
      <w:pPr>
        <w:numPr>
          <w:ilvl w:val="0"/>
          <w:numId w:val="5"/>
        </w:numPr>
        <w:tabs>
          <w:tab w:val="left" w:pos="668"/>
          <w:tab w:val="left" w:pos="808"/>
          <w:tab w:val="clear" w:pos="360"/>
        </w:tabs>
        <w:adjustRightInd w:val="0"/>
        <w:snapToGrid w:val="0"/>
        <w:spacing w:line="480" w:lineRule="exact"/>
        <w:ind w:left="0" w:firstLine="480" w:firstLineChars="200"/>
        <w:rPr>
          <w:rFonts w:hint="eastAsia" w:ascii="微软雅黑" w:hAnsi="微软雅黑" w:eastAsia="微软雅黑" w:cs="微软雅黑"/>
          <w:sz w:val="24"/>
          <w:highlight w:val="none"/>
        </w:rPr>
      </w:pPr>
      <w:r>
        <w:rPr>
          <w:rFonts w:hint="eastAsia" w:ascii="微软雅黑" w:hAnsi="微软雅黑" w:eastAsia="微软雅黑" w:cs="微软雅黑"/>
          <w:sz w:val="24"/>
          <w:highlight w:val="none"/>
        </w:rPr>
        <w:t>投标人应根据电厂运行维护的需要，提供电厂2年运行维护期备品备件，此项包含在报价中。</w:t>
      </w:r>
    </w:p>
    <w:p w14:paraId="46B0E313">
      <w:pPr>
        <w:pStyle w:val="5"/>
        <w:jc w:val="both"/>
        <w:rPr>
          <w:rFonts w:hint="eastAsia" w:ascii="微软雅黑" w:hAnsi="微软雅黑" w:eastAsia="微软雅黑" w:cs="微软雅黑"/>
          <w:b w:val="0"/>
          <w:bCs w:val="0"/>
          <w:color w:val="auto"/>
          <w:sz w:val="24"/>
          <w:szCs w:val="20"/>
          <w:highlight w:val="none"/>
        </w:rPr>
      </w:pPr>
      <w:r>
        <w:rPr>
          <w:rFonts w:hint="eastAsia" w:ascii="微软雅黑" w:hAnsi="微软雅黑" w:eastAsia="微软雅黑" w:cs="微软雅黑"/>
          <w:b w:val="0"/>
          <w:bCs w:val="0"/>
          <w:color w:val="auto"/>
          <w:kern w:val="2"/>
          <w:sz w:val="24"/>
          <w:szCs w:val="20"/>
          <w:highlight w:val="none"/>
          <w:lang w:val="en-US" w:eastAsia="zh-CN" w:bidi="ar-SA"/>
        </w:rPr>
        <w:t>2年运行维护期备品备件清单</w:t>
      </w:r>
    </w:p>
    <w:tbl>
      <w:tblPr>
        <w:tblStyle w:val="25"/>
        <w:tblpPr w:leftFromText="180" w:rightFromText="180" w:vertAnchor="text" w:horzAnchor="page" w:tblpX="1331" w:tblpY="894"/>
        <w:tblOverlap w:val="never"/>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787"/>
        <w:gridCol w:w="1339"/>
        <w:gridCol w:w="896"/>
        <w:gridCol w:w="865"/>
        <w:gridCol w:w="1070"/>
        <w:gridCol w:w="1381"/>
        <w:gridCol w:w="980"/>
      </w:tblGrid>
      <w:tr w14:paraId="2C827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754" w:type="dxa"/>
            <w:noWrap w:val="0"/>
            <w:vAlign w:val="center"/>
          </w:tcPr>
          <w:p w14:paraId="08EA4964">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1787" w:type="dxa"/>
            <w:noWrap w:val="0"/>
            <w:vAlign w:val="center"/>
          </w:tcPr>
          <w:p w14:paraId="1AD72536">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名  称</w:t>
            </w:r>
          </w:p>
        </w:tc>
        <w:tc>
          <w:tcPr>
            <w:tcW w:w="1339" w:type="dxa"/>
            <w:noWrap w:val="0"/>
            <w:vAlign w:val="center"/>
          </w:tcPr>
          <w:p w14:paraId="263355C9">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规格和型号</w:t>
            </w:r>
          </w:p>
        </w:tc>
        <w:tc>
          <w:tcPr>
            <w:tcW w:w="896" w:type="dxa"/>
            <w:noWrap w:val="0"/>
            <w:vAlign w:val="center"/>
          </w:tcPr>
          <w:p w14:paraId="72398C43">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单位</w:t>
            </w:r>
          </w:p>
        </w:tc>
        <w:tc>
          <w:tcPr>
            <w:tcW w:w="865" w:type="dxa"/>
            <w:noWrap w:val="0"/>
            <w:vAlign w:val="center"/>
          </w:tcPr>
          <w:p w14:paraId="4C98E329">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070" w:type="dxa"/>
            <w:noWrap w:val="0"/>
            <w:vAlign w:val="center"/>
          </w:tcPr>
          <w:p w14:paraId="2462672A">
            <w:pPr>
              <w:pStyle w:val="39"/>
              <w:keepNext/>
              <w:keepLines/>
              <w:snapToGrid w:val="0"/>
              <w:spacing w:line="240" w:lineRule="auto"/>
              <w:jc w:val="center"/>
              <w:rPr>
                <w:rFonts w:hint="eastAsia" w:ascii="微软雅黑" w:hAnsi="微软雅黑" w:eastAsia="微软雅黑" w:cs="微软雅黑"/>
                <w:kern w:val="2"/>
                <w:szCs w:val="24"/>
              </w:rPr>
            </w:pPr>
            <w:r>
              <w:rPr>
                <w:rFonts w:hint="eastAsia" w:ascii="微软雅黑" w:hAnsi="微软雅黑" w:eastAsia="微软雅黑" w:cs="微软雅黑"/>
                <w:kern w:val="2"/>
                <w:szCs w:val="24"/>
              </w:rPr>
              <w:t>产地</w:t>
            </w:r>
          </w:p>
        </w:tc>
        <w:tc>
          <w:tcPr>
            <w:tcW w:w="1381" w:type="dxa"/>
            <w:noWrap w:val="0"/>
            <w:vAlign w:val="center"/>
          </w:tcPr>
          <w:p w14:paraId="3277C38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生产厂家</w:t>
            </w:r>
          </w:p>
        </w:tc>
        <w:tc>
          <w:tcPr>
            <w:tcW w:w="980" w:type="dxa"/>
            <w:noWrap w:val="0"/>
            <w:vAlign w:val="center"/>
          </w:tcPr>
          <w:p w14:paraId="1D2FB1A0">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备注</w:t>
            </w:r>
          </w:p>
        </w:tc>
      </w:tr>
      <w:tr w14:paraId="495E9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754" w:type="dxa"/>
            <w:noWrap w:val="0"/>
            <w:vAlign w:val="center"/>
          </w:tcPr>
          <w:p w14:paraId="62ECB24F">
            <w:pPr>
              <w:snapToGrid w:val="0"/>
              <w:jc w:val="center"/>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1</w:t>
            </w:r>
          </w:p>
        </w:tc>
        <w:tc>
          <w:tcPr>
            <w:tcW w:w="1787" w:type="dxa"/>
            <w:noWrap w:val="0"/>
            <w:vAlign w:val="center"/>
          </w:tcPr>
          <w:p w14:paraId="23A40F17">
            <w:pPr>
              <w:tabs>
                <w:tab w:val="left" w:pos="735"/>
                <w:tab w:val="left" w:pos="1440"/>
                <w:tab w:val="left" w:pos="1512"/>
              </w:tabs>
              <w:snapToGrid w:val="0"/>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快速熔芯</w:t>
            </w:r>
          </w:p>
        </w:tc>
        <w:tc>
          <w:tcPr>
            <w:tcW w:w="1339" w:type="dxa"/>
            <w:noWrap w:val="0"/>
            <w:vAlign w:val="center"/>
          </w:tcPr>
          <w:p w14:paraId="2E4027BE">
            <w:pPr>
              <w:pStyle w:val="10"/>
              <w:tabs>
                <w:tab w:val="left" w:pos="0"/>
                <w:tab w:val="left" w:pos="1512"/>
              </w:tabs>
              <w:snapToGrid w:val="0"/>
              <w:spacing w:line="240" w:lineRule="auto"/>
              <w:ind w:hanging="90"/>
              <w:jc w:val="center"/>
              <w:rPr>
                <w:rFonts w:hint="default" w:ascii="微软雅黑" w:hAnsi="微软雅黑" w:eastAsia="微软雅黑" w:cs="微软雅黑"/>
                <w:kern w:val="2"/>
                <w:sz w:val="24"/>
                <w:szCs w:val="24"/>
                <w:lang w:val="en-US" w:eastAsia="zh-CN"/>
              </w:rPr>
            </w:pPr>
            <w:r>
              <w:rPr>
                <w:rFonts w:hint="eastAsia" w:ascii="微软雅黑" w:hAnsi="微软雅黑" w:eastAsia="微软雅黑" w:cs="微软雅黑"/>
                <w:kern w:val="2"/>
                <w:sz w:val="24"/>
                <w:szCs w:val="24"/>
                <w:lang w:val="en-US" w:eastAsia="zh-CN"/>
              </w:rPr>
              <w:t>RS</w:t>
            </w:r>
          </w:p>
        </w:tc>
        <w:tc>
          <w:tcPr>
            <w:tcW w:w="896" w:type="dxa"/>
            <w:noWrap w:val="0"/>
            <w:vAlign w:val="center"/>
          </w:tcPr>
          <w:p w14:paraId="26BF4997">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支</w:t>
            </w:r>
          </w:p>
        </w:tc>
        <w:tc>
          <w:tcPr>
            <w:tcW w:w="865" w:type="dxa"/>
            <w:noWrap w:val="0"/>
            <w:vAlign w:val="center"/>
          </w:tcPr>
          <w:p w14:paraId="0294BBE0">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w:t>
            </w:r>
          </w:p>
        </w:tc>
        <w:tc>
          <w:tcPr>
            <w:tcW w:w="1070" w:type="dxa"/>
            <w:noWrap w:val="0"/>
            <w:vAlign w:val="center"/>
          </w:tcPr>
          <w:p w14:paraId="5796E53F">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w:t>
            </w:r>
          </w:p>
        </w:tc>
        <w:tc>
          <w:tcPr>
            <w:tcW w:w="1381" w:type="dxa"/>
            <w:noWrap w:val="0"/>
            <w:vAlign w:val="center"/>
          </w:tcPr>
          <w:p w14:paraId="62E6CEB7">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w:t>
            </w:r>
          </w:p>
        </w:tc>
        <w:tc>
          <w:tcPr>
            <w:tcW w:w="980" w:type="dxa"/>
            <w:noWrap w:val="0"/>
            <w:vAlign w:val="center"/>
          </w:tcPr>
          <w:p w14:paraId="5A6F283D">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w:t>
            </w:r>
          </w:p>
        </w:tc>
      </w:tr>
    </w:tbl>
    <w:p w14:paraId="7329EA48">
      <w:pPr>
        <w:numPr>
          <w:ilvl w:val="0"/>
          <w:numId w:val="5"/>
        </w:numPr>
        <w:tabs>
          <w:tab w:val="left" w:pos="668"/>
          <w:tab w:val="left" w:pos="808"/>
          <w:tab w:val="clear" w:pos="360"/>
        </w:tabs>
        <w:adjustRightInd w:val="0"/>
        <w:snapToGrid w:val="0"/>
        <w:spacing w:line="480" w:lineRule="exact"/>
        <w:ind w:left="0"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投标人应根据自己的经验，列出设备5年运行及首次大修所需的备品备件的推荐清单，此项不包含在报价中。</w:t>
      </w:r>
    </w:p>
    <w:p w14:paraId="54691730">
      <w:pPr>
        <w:numPr>
          <w:ilvl w:val="0"/>
          <w:numId w:val="0"/>
        </w:numPr>
        <w:spacing w:line="480" w:lineRule="exact"/>
        <w:ind w:leftChars="0"/>
        <w:rPr>
          <w:rFonts w:hint="eastAsia" w:ascii="微软雅黑" w:hAnsi="微软雅黑" w:eastAsia="微软雅黑" w:cs="微软雅黑"/>
          <w:b/>
          <w:bCs/>
          <w:sz w:val="24"/>
        </w:rPr>
      </w:pPr>
      <w:r>
        <w:rPr>
          <w:rFonts w:hint="eastAsia" w:ascii="微软雅黑" w:hAnsi="微软雅黑" w:eastAsia="微软雅黑" w:cs="微软雅黑"/>
          <w:sz w:val="24"/>
          <w:lang w:val="en-US" w:eastAsia="zh-CN"/>
        </w:rPr>
        <w:t>8.3.1</w:t>
      </w:r>
      <w:r>
        <w:rPr>
          <w:rFonts w:hint="eastAsia" w:ascii="微软雅黑" w:hAnsi="微软雅黑" w:eastAsia="微软雅黑" w:cs="微软雅黑"/>
          <w:b/>
          <w:bCs/>
          <w:sz w:val="24"/>
        </w:rPr>
        <w:t xml:space="preserve"> 安装、调试、试运行所需的备品备件</w:t>
      </w:r>
    </w:p>
    <w:tbl>
      <w:tblPr>
        <w:tblStyle w:val="2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787"/>
        <w:gridCol w:w="1339"/>
        <w:gridCol w:w="896"/>
        <w:gridCol w:w="865"/>
        <w:gridCol w:w="1070"/>
        <w:gridCol w:w="1381"/>
        <w:gridCol w:w="980"/>
      </w:tblGrid>
      <w:tr w14:paraId="0F1F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4FD9425C">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1787" w:type="dxa"/>
            <w:noWrap w:val="0"/>
            <w:vAlign w:val="center"/>
          </w:tcPr>
          <w:p w14:paraId="7CCCB101">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名  称</w:t>
            </w:r>
          </w:p>
        </w:tc>
        <w:tc>
          <w:tcPr>
            <w:tcW w:w="1339" w:type="dxa"/>
            <w:noWrap w:val="0"/>
            <w:vAlign w:val="center"/>
          </w:tcPr>
          <w:p w14:paraId="664EE0A7">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规格和型号</w:t>
            </w:r>
          </w:p>
        </w:tc>
        <w:tc>
          <w:tcPr>
            <w:tcW w:w="896" w:type="dxa"/>
            <w:noWrap w:val="0"/>
            <w:vAlign w:val="center"/>
          </w:tcPr>
          <w:p w14:paraId="73C320F0">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单位</w:t>
            </w:r>
          </w:p>
        </w:tc>
        <w:tc>
          <w:tcPr>
            <w:tcW w:w="865" w:type="dxa"/>
            <w:noWrap w:val="0"/>
            <w:vAlign w:val="center"/>
          </w:tcPr>
          <w:p w14:paraId="7B65035B">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070" w:type="dxa"/>
            <w:noWrap w:val="0"/>
            <w:vAlign w:val="center"/>
          </w:tcPr>
          <w:p w14:paraId="546526AA">
            <w:pPr>
              <w:pStyle w:val="39"/>
              <w:keepNext/>
              <w:keepLines/>
              <w:snapToGrid w:val="0"/>
              <w:spacing w:line="240" w:lineRule="auto"/>
              <w:jc w:val="center"/>
              <w:rPr>
                <w:rFonts w:hint="eastAsia" w:ascii="微软雅黑" w:hAnsi="微软雅黑" w:eastAsia="微软雅黑" w:cs="微软雅黑"/>
                <w:kern w:val="2"/>
                <w:szCs w:val="24"/>
              </w:rPr>
            </w:pPr>
            <w:r>
              <w:rPr>
                <w:rFonts w:hint="eastAsia" w:ascii="微软雅黑" w:hAnsi="微软雅黑" w:eastAsia="微软雅黑" w:cs="微软雅黑"/>
                <w:kern w:val="2"/>
                <w:szCs w:val="24"/>
              </w:rPr>
              <w:t>产地</w:t>
            </w:r>
          </w:p>
        </w:tc>
        <w:tc>
          <w:tcPr>
            <w:tcW w:w="1381" w:type="dxa"/>
            <w:noWrap w:val="0"/>
            <w:vAlign w:val="center"/>
          </w:tcPr>
          <w:p w14:paraId="1FEE963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生产厂家</w:t>
            </w:r>
          </w:p>
        </w:tc>
        <w:tc>
          <w:tcPr>
            <w:tcW w:w="980" w:type="dxa"/>
            <w:noWrap w:val="0"/>
            <w:vAlign w:val="center"/>
          </w:tcPr>
          <w:p w14:paraId="140846F7">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备注</w:t>
            </w:r>
          </w:p>
        </w:tc>
      </w:tr>
      <w:tr w14:paraId="0E72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54" w:type="dxa"/>
            <w:noWrap w:val="0"/>
            <w:vAlign w:val="center"/>
          </w:tcPr>
          <w:p w14:paraId="15819CBC">
            <w:pPr>
              <w:snapToGrid w:val="0"/>
              <w:jc w:val="center"/>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1</w:t>
            </w:r>
          </w:p>
        </w:tc>
        <w:tc>
          <w:tcPr>
            <w:tcW w:w="1787" w:type="dxa"/>
            <w:noWrap w:val="0"/>
            <w:vAlign w:val="center"/>
          </w:tcPr>
          <w:p w14:paraId="2BD2C44C">
            <w:pPr>
              <w:tabs>
                <w:tab w:val="left" w:pos="735"/>
                <w:tab w:val="left" w:pos="1440"/>
                <w:tab w:val="left" w:pos="1512"/>
              </w:tab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测吸螺栓</w:t>
            </w:r>
          </w:p>
        </w:tc>
        <w:tc>
          <w:tcPr>
            <w:tcW w:w="1339" w:type="dxa"/>
            <w:noWrap w:val="0"/>
            <w:vAlign w:val="center"/>
          </w:tcPr>
          <w:p w14:paraId="35FBB07C">
            <w:pPr>
              <w:pStyle w:val="10"/>
              <w:tabs>
                <w:tab w:val="left" w:pos="0"/>
                <w:tab w:val="left" w:pos="1512"/>
              </w:tabs>
              <w:snapToGrid w:val="0"/>
              <w:spacing w:line="240" w:lineRule="auto"/>
              <w:ind w:hanging="90"/>
              <w:jc w:val="center"/>
              <w:rPr>
                <w:rFonts w:hint="eastAsia" w:ascii="微软雅黑" w:hAnsi="微软雅黑" w:eastAsia="微软雅黑" w:cs="微软雅黑"/>
                <w:kern w:val="2"/>
                <w:sz w:val="24"/>
                <w:szCs w:val="24"/>
                <w:lang w:val="en-US" w:eastAsia="zh-CN"/>
              </w:rPr>
            </w:pPr>
            <w:r>
              <w:rPr>
                <w:rFonts w:hint="eastAsia" w:ascii="微软雅黑" w:hAnsi="微软雅黑" w:eastAsia="微软雅黑" w:cs="微软雅黑"/>
                <w:kern w:val="2"/>
                <w:sz w:val="24"/>
                <w:szCs w:val="24"/>
                <w:lang w:val="en-US" w:eastAsia="zh-CN"/>
              </w:rPr>
              <w:t>配套</w:t>
            </w:r>
          </w:p>
        </w:tc>
        <w:tc>
          <w:tcPr>
            <w:tcW w:w="896" w:type="dxa"/>
            <w:noWrap w:val="0"/>
            <w:vAlign w:val="center"/>
          </w:tcPr>
          <w:p w14:paraId="5A17033D">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只</w:t>
            </w:r>
          </w:p>
        </w:tc>
        <w:tc>
          <w:tcPr>
            <w:tcW w:w="865" w:type="dxa"/>
            <w:noWrap w:val="0"/>
            <w:vAlign w:val="center"/>
          </w:tcPr>
          <w:p w14:paraId="37E925AC">
            <w:pPr>
              <w:tabs>
                <w:tab w:val="left" w:pos="1440"/>
                <w:tab w:val="left" w:pos="1512"/>
              </w:tabs>
              <w:snapToGrid w:val="0"/>
              <w:jc w:val="cente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w:t>
            </w:r>
          </w:p>
        </w:tc>
        <w:tc>
          <w:tcPr>
            <w:tcW w:w="1070" w:type="dxa"/>
            <w:noWrap w:val="0"/>
            <w:vAlign w:val="center"/>
          </w:tcPr>
          <w:p w14:paraId="4795E144">
            <w:pPr>
              <w:tabs>
                <w:tab w:val="left" w:pos="1440"/>
                <w:tab w:val="left" w:pos="1512"/>
              </w:tab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w:t>
            </w:r>
          </w:p>
        </w:tc>
        <w:tc>
          <w:tcPr>
            <w:tcW w:w="1381" w:type="dxa"/>
            <w:noWrap w:val="0"/>
            <w:vAlign w:val="center"/>
          </w:tcPr>
          <w:p w14:paraId="0B7E9861">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3EBC9D4F">
            <w:pPr>
              <w:tabs>
                <w:tab w:val="left" w:pos="1440"/>
                <w:tab w:val="left" w:pos="1512"/>
              </w:tabs>
              <w:snapToGrid w:val="0"/>
              <w:jc w:val="left"/>
              <w:rPr>
                <w:rFonts w:hint="eastAsia" w:ascii="微软雅黑" w:hAnsi="微软雅黑" w:eastAsia="微软雅黑" w:cs="微软雅黑"/>
                <w:sz w:val="24"/>
                <w:szCs w:val="24"/>
              </w:rPr>
            </w:pPr>
          </w:p>
        </w:tc>
      </w:tr>
      <w:tr w14:paraId="6E25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415C6AEF">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p>
        </w:tc>
        <w:tc>
          <w:tcPr>
            <w:tcW w:w="1787" w:type="dxa"/>
            <w:noWrap w:val="0"/>
            <w:vAlign w:val="center"/>
          </w:tcPr>
          <w:p w14:paraId="640F32F5">
            <w:pPr>
              <w:tabs>
                <w:tab w:val="left" w:pos="735"/>
                <w:tab w:val="left" w:pos="1440"/>
                <w:tab w:val="left" w:pos="1512"/>
              </w:tabs>
              <w:snapToGrid w:val="0"/>
              <w:jc w:val="left"/>
              <w:rPr>
                <w:rFonts w:hint="eastAsia" w:ascii="微软雅黑" w:hAnsi="微软雅黑" w:eastAsia="微软雅黑" w:cs="微软雅黑"/>
                <w:sz w:val="24"/>
                <w:szCs w:val="24"/>
              </w:rPr>
            </w:pPr>
          </w:p>
        </w:tc>
        <w:tc>
          <w:tcPr>
            <w:tcW w:w="1339" w:type="dxa"/>
            <w:noWrap w:val="0"/>
            <w:vAlign w:val="center"/>
          </w:tcPr>
          <w:p w14:paraId="0D6E3F5A">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499CA5A4">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69DA030D">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4EB723D1">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7B00711A">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5777195B">
            <w:pPr>
              <w:tabs>
                <w:tab w:val="left" w:pos="1440"/>
                <w:tab w:val="left" w:pos="1512"/>
              </w:tabs>
              <w:snapToGrid w:val="0"/>
              <w:jc w:val="left"/>
              <w:rPr>
                <w:rFonts w:hint="eastAsia" w:ascii="微软雅黑" w:hAnsi="微软雅黑" w:eastAsia="微软雅黑" w:cs="微软雅黑"/>
                <w:sz w:val="24"/>
                <w:szCs w:val="24"/>
              </w:rPr>
            </w:pPr>
          </w:p>
        </w:tc>
      </w:tr>
      <w:tr w14:paraId="53CE9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29F19A3E">
            <w:pPr>
              <w:snapToGrid w:val="0"/>
              <w:jc w:val="center"/>
              <w:rPr>
                <w:rFonts w:hint="eastAsia" w:ascii="微软雅黑" w:hAnsi="微软雅黑" w:eastAsia="微软雅黑" w:cs="微软雅黑"/>
                <w:sz w:val="24"/>
                <w:szCs w:val="24"/>
              </w:rPr>
            </w:pPr>
          </w:p>
        </w:tc>
        <w:tc>
          <w:tcPr>
            <w:tcW w:w="1787" w:type="dxa"/>
            <w:noWrap w:val="0"/>
            <w:vAlign w:val="center"/>
          </w:tcPr>
          <w:p w14:paraId="624BF69A">
            <w:pPr>
              <w:tabs>
                <w:tab w:val="left" w:pos="735"/>
                <w:tab w:val="left" w:pos="1440"/>
                <w:tab w:val="left" w:pos="1512"/>
              </w:tabs>
              <w:snapToGrid w:val="0"/>
              <w:jc w:val="left"/>
              <w:rPr>
                <w:rFonts w:hint="eastAsia" w:ascii="微软雅黑" w:hAnsi="微软雅黑" w:eastAsia="微软雅黑" w:cs="微软雅黑"/>
                <w:sz w:val="24"/>
                <w:szCs w:val="24"/>
              </w:rPr>
            </w:pPr>
          </w:p>
        </w:tc>
        <w:tc>
          <w:tcPr>
            <w:tcW w:w="1339" w:type="dxa"/>
            <w:noWrap w:val="0"/>
            <w:vAlign w:val="center"/>
          </w:tcPr>
          <w:p w14:paraId="2091CD00">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4E6DF53B">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1CB000B1">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7DE2270D">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03AE2076">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3CE27201">
            <w:pPr>
              <w:tabs>
                <w:tab w:val="left" w:pos="1440"/>
                <w:tab w:val="left" w:pos="1512"/>
              </w:tabs>
              <w:snapToGrid w:val="0"/>
              <w:jc w:val="left"/>
              <w:rPr>
                <w:rFonts w:hint="eastAsia" w:ascii="微软雅黑" w:hAnsi="微软雅黑" w:eastAsia="微软雅黑" w:cs="微软雅黑"/>
                <w:sz w:val="24"/>
                <w:szCs w:val="24"/>
              </w:rPr>
            </w:pPr>
          </w:p>
        </w:tc>
      </w:tr>
    </w:tbl>
    <w:p w14:paraId="2117DD3C">
      <w:pPr>
        <w:numPr>
          <w:ilvl w:val="0"/>
          <w:numId w:val="0"/>
        </w:numPr>
        <w:spacing w:line="360" w:lineRule="auto"/>
        <w:ind w:leftChars="0"/>
        <w:rPr>
          <w:rFonts w:hint="eastAsia" w:ascii="微软雅黑" w:hAnsi="微软雅黑" w:eastAsia="微软雅黑" w:cs="微软雅黑"/>
          <w:sz w:val="24"/>
        </w:rPr>
      </w:pPr>
      <w:r>
        <w:rPr>
          <w:rFonts w:hint="eastAsia" w:ascii="微软雅黑" w:hAnsi="微软雅黑" w:eastAsia="微软雅黑" w:cs="微软雅黑"/>
          <w:sz w:val="24"/>
          <w:lang w:val="en-US" w:eastAsia="zh-CN"/>
        </w:rPr>
        <w:t>8.3.2</w:t>
      </w:r>
      <w:r>
        <w:rPr>
          <w:rFonts w:hint="eastAsia" w:ascii="微软雅黑" w:hAnsi="微软雅黑" w:eastAsia="微软雅黑" w:cs="微软雅黑"/>
          <w:sz w:val="24"/>
        </w:rPr>
        <w:t xml:space="preserve"> 运行2年所需的备品备件</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581"/>
        <w:gridCol w:w="1545"/>
        <w:gridCol w:w="896"/>
        <w:gridCol w:w="865"/>
        <w:gridCol w:w="1070"/>
        <w:gridCol w:w="1381"/>
        <w:gridCol w:w="980"/>
      </w:tblGrid>
      <w:tr w14:paraId="0000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5342ABD0">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1581" w:type="dxa"/>
            <w:noWrap w:val="0"/>
            <w:vAlign w:val="center"/>
          </w:tcPr>
          <w:p w14:paraId="33C6C475">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名  称</w:t>
            </w:r>
          </w:p>
        </w:tc>
        <w:tc>
          <w:tcPr>
            <w:tcW w:w="1545" w:type="dxa"/>
            <w:noWrap w:val="0"/>
            <w:vAlign w:val="center"/>
          </w:tcPr>
          <w:p w14:paraId="39087EE1">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规格和型号</w:t>
            </w:r>
          </w:p>
        </w:tc>
        <w:tc>
          <w:tcPr>
            <w:tcW w:w="896" w:type="dxa"/>
            <w:noWrap w:val="0"/>
            <w:vAlign w:val="center"/>
          </w:tcPr>
          <w:p w14:paraId="47098A53">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单位</w:t>
            </w:r>
          </w:p>
        </w:tc>
        <w:tc>
          <w:tcPr>
            <w:tcW w:w="865" w:type="dxa"/>
            <w:noWrap w:val="0"/>
            <w:vAlign w:val="center"/>
          </w:tcPr>
          <w:p w14:paraId="20030A67">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070" w:type="dxa"/>
            <w:noWrap w:val="0"/>
            <w:vAlign w:val="center"/>
          </w:tcPr>
          <w:p w14:paraId="239DD5E3">
            <w:pPr>
              <w:pStyle w:val="39"/>
              <w:keepNext/>
              <w:keepLines/>
              <w:snapToGrid w:val="0"/>
              <w:spacing w:line="240" w:lineRule="auto"/>
              <w:jc w:val="center"/>
              <w:rPr>
                <w:rFonts w:hint="eastAsia" w:ascii="微软雅黑" w:hAnsi="微软雅黑" w:eastAsia="微软雅黑" w:cs="微软雅黑"/>
                <w:kern w:val="2"/>
                <w:szCs w:val="24"/>
              </w:rPr>
            </w:pPr>
            <w:r>
              <w:rPr>
                <w:rFonts w:hint="eastAsia" w:ascii="微软雅黑" w:hAnsi="微软雅黑" w:eastAsia="微软雅黑" w:cs="微软雅黑"/>
                <w:kern w:val="2"/>
                <w:szCs w:val="24"/>
              </w:rPr>
              <w:t>产地</w:t>
            </w:r>
          </w:p>
        </w:tc>
        <w:tc>
          <w:tcPr>
            <w:tcW w:w="1381" w:type="dxa"/>
            <w:noWrap w:val="0"/>
            <w:vAlign w:val="center"/>
          </w:tcPr>
          <w:p w14:paraId="6745B340">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生产厂家</w:t>
            </w:r>
          </w:p>
        </w:tc>
        <w:tc>
          <w:tcPr>
            <w:tcW w:w="980" w:type="dxa"/>
            <w:noWrap w:val="0"/>
            <w:vAlign w:val="center"/>
          </w:tcPr>
          <w:p w14:paraId="5B36D5E6">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备注</w:t>
            </w:r>
          </w:p>
        </w:tc>
      </w:tr>
      <w:tr w14:paraId="156B4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7063CA47">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581" w:type="dxa"/>
            <w:noWrap w:val="0"/>
            <w:vAlign w:val="center"/>
          </w:tcPr>
          <w:p w14:paraId="076F56E1">
            <w:pPr>
              <w:pStyle w:val="39"/>
              <w:tabs>
                <w:tab w:val="left" w:pos="735"/>
                <w:tab w:val="left" w:pos="1440"/>
                <w:tab w:val="left" w:pos="1512"/>
              </w:tabs>
              <w:adjustRightInd/>
              <w:snapToGrid w:val="0"/>
              <w:spacing w:line="240" w:lineRule="auto"/>
              <w:textAlignment w:val="auto"/>
              <w:rPr>
                <w:rFonts w:hint="eastAsia" w:ascii="微软雅黑" w:hAnsi="微软雅黑" w:eastAsia="微软雅黑" w:cs="微软雅黑"/>
                <w:kern w:val="2"/>
                <w:szCs w:val="24"/>
              </w:rPr>
            </w:pPr>
          </w:p>
        </w:tc>
        <w:tc>
          <w:tcPr>
            <w:tcW w:w="1545" w:type="dxa"/>
            <w:noWrap w:val="0"/>
            <w:vAlign w:val="center"/>
          </w:tcPr>
          <w:p w14:paraId="78BAFE5A">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4DF64713">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152C0B99">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711E06A4">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1381" w:type="dxa"/>
            <w:noWrap w:val="0"/>
            <w:vAlign w:val="center"/>
          </w:tcPr>
          <w:p w14:paraId="4B8ABABF">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980" w:type="dxa"/>
            <w:noWrap w:val="0"/>
            <w:vAlign w:val="top"/>
          </w:tcPr>
          <w:p w14:paraId="23A3E8F6">
            <w:pPr>
              <w:tabs>
                <w:tab w:val="left" w:pos="1440"/>
                <w:tab w:val="left" w:pos="1512"/>
              </w:tabs>
              <w:snapToGrid w:val="0"/>
              <w:jc w:val="left"/>
              <w:rPr>
                <w:rFonts w:hint="eastAsia" w:ascii="微软雅黑" w:hAnsi="微软雅黑" w:eastAsia="微软雅黑" w:cs="微软雅黑"/>
                <w:sz w:val="24"/>
                <w:szCs w:val="24"/>
              </w:rPr>
            </w:pPr>
          </w:p>
        </w:tc>
      </w:tr>
      <w:tr w14:paraId="0F05A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6811D07E">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p>
        </w:tc>
        <w:tc>
          <w:tcPr>
            <w:tcW w:w="1581" w:type="dxa"/>
            <w:noWrap w:val="0"/>
            <w:vAlign w:val="center"/>
          </w:tcPr>
          <w:p w14:paraId="43025051">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668D738A">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20DAA5FC">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5AEAA516">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5C4CDF2A">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4ACC8A4D">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5AE2C9C9">
            <w:pPr>
              <w:tabs>
                <w:tab w:val="left" w:pos="1440"/>
                <w:tab w:val="left" w:pos="1512"/>
              </w:tabs>
              <w:snapToGrid w:val="0"/>
              <w:jc w:val="left"/>
              <w:rPr>
                <w:rFonts w:hint="eastAsia" w:ascii="微软雅黑" w:hAnsi="微软雅黑" w:eastAsia="微软雅黑" w:cs="微软雅黑"/>
                <w:sz w:val="24"/>
                <w:szCs w:val="24"/>
              </w:rPr>
            </w:pPr>
          </w:p>
        </w:tc>
      </w:tr>
      <w:tr w14:paraId="16FC9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1F2DB240">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p>
        </w:tc>
        <w:tc>
          <w:tcPr>
            <w:tcW w:w="1581" w:type="dxa"/>
            <w:noWrap w:val="0"/>
            <w:vAlign w:val="center"/>
          </w:tcPr>
          <w:p w14:paraId="48A7C077">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19669455">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0716A268">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72E8432D">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08BA85BD">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2166A38C">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10A03A8B">
            <w:pPr>
              <w:tabs>
                <w:tab w:val="left" w:pos="1440"/>
                <w:tab w:val="left" w:pos="1512"/>
              </w:tabs>
              <w:snapToGrid w:val="0"/>
              <w:jc w:val="left"/>
              <w:rPr>
                <w:rFonts w:hint="eastAsia" w:ascii="微软雅黑" w:hAnsi="微软雅黑" w:eastAsia="微软雅黑" w:cs="微软雅黑"/>
                <w:sz w:val="24"/>
                <w:szCs w:val="24"/>
              </w:rPr>
            </w:pPr>
          </w:p>
        </w:tc>
      </w:tr>
    </w:tbl>
    <w:p w14:paraId="2A707A37">
      <w:pPr>
        <w:numPr>
          <w:ilvl w:val="0"/>
          <w:numId w:val="0"/>
        </w:numPr>
        <w:spacing w:line="360" w:lineRule="auto"/>
        <w:ind w:leftChars="0"/>
        <w:rPr>
          <w:rFonts w:hint="eastAsia" w:ascii="微软雅黑" w:hAnsi="微软雅黑" w:eastAsia="微软雅黑" w:cs="微软雅黑"/>
          <w:sz w:val="24"/>
        </w:rPr>
      </w:pPr>
      <w:r>
        <w:rPr>
          <w:rFonts w:hint="eastAsia" w:ascii="微软雅黑" w:hAnsi="微软雅黑" w:eastAsia="微软雅黑" w:cs="微软雅黑"/>
          <w:sz w:val="24"/>
          <w:lang w:val="en-US" w:eastAsia="zh-CN"/>
        </w:rPr>
        <w:t>8.3.3</w:t>
      </w:r>
      <w:r>
        <w:rPr>
          <w:rFonts w:hint="eastAsia" w:ascii="微软雅黑" w:hAnsi="微软雅黑" w:eastAsia="微软雅黑" w:cs="微软雅黑"/>
          <w:sz w:val="24"/>
        </w:rPr>
        <w:t xml:space="preserve"> 五年商业运行及第一次大修所需的备品备件（不计入总价）</w:t>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ab/>
      </w:r>
      <w:r>
        <w:rPr>
          <w:rFonts w:hint="eastAsia" w:ascii="微软雅黑" w:hAnsi="微软雅黑" w:eastAsia="微软雅黑" w:cs="微软雅黑"/>
          <w:sz w:val="24"/>
        </w:rPr>
        <w:tab/>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581"/>
        <w:gridCol w:w="1545"/>
        <w:gridCol w:w="896"/>
        <w:gridCol w:w="865"/>
        <w:gridCol w:w="1070"/>
        <w:gridCol w:w="1381"/>
        <w:gridCol w:w="980"/>
      </w:tblGrid>
      <w:tr w14:paraId="7F89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2ED20DDD">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1581" w:type="dxa"/>
            <w:noWrap w:val="0"/>
            <w:vAlign w:val="center"/>
          </w:tcPr>
          <w:p w14:paraId="4DBCC1CE">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名  称</w:t>
            </w:r>
          </w:p>
        </w:tc>
        <w:tc>
          <w:tcPr>
            <w:tcW w:w="1545" w:type="dxa"/>
            <w:noWrap w:val="0"/>
            <w:vAlign w:val="center"/>
          </w:tcPr>
          <w:p w14:paraId="0DDFFF03">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规格和型号</w:t>
            </w:r>
          </w:p>
        </w:tc>
        <w:tc>
          <w:tcPr>
            <w:tcW w:w="896" w:type="dxa"/>
            <w:noWrap w:val="0"/>
            <w:vAlign w:val="center"/>
          </w:tcPr>
          <w:p w14:paraId="2F212DA9">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单位</w:t>
            </w:r>
          </w:p>
        </w:tc>
        <w:tc>
          <w:tcPr>
            <w:tcW w:w="865" w:type="dxa"/>
            <w:noWrap w:val="0"/>
            <w:vAlign w:val="center"/>
          </w:tcPr>
          <w:p w14:paraId="4080C89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070" w:type="dxa"/>
            <w:noWrap w:val="0"/>
            <w:vAlign w:val="center"/>
          </w:tcPr>
          <w:p w14:paraId="23116EF8">
            <w:pPr>
              <w:pStyle w:val="39"/>
              <w:keepNext/>
              <w:keepLines/>
              <w:snapToGrid w:val="0"/>
              <w:spacing w:line="240" w:lineRule="auto"/>
              <w:jc w:val="center"/>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rPr>
              <w:t>产地</w:t>
            </w:r>
          </w:p>
        </w:tc>
        <w:tc>
          <w:tcPr>
            <w:tcW w:w="1381" w:type="dxa"/>
            <w:noWrap w:val="0"/>
            <w:vAlign w:val="center"/>
          </w:tcPr>
          <w:p w14:paraId="5A54228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生产厂家</w:t>
            </w:r>
          </w:p>
        </w:tc>
        <w:tc>
          <w:tcPr>
            <w:tcW w:w="980" w:type="dxa"/>
            <w:noWrap w:val="0"/>
            <w:vAlign w:val="center"/>
          </w:tcPr>
          <w:p w14:paraId="1DA03BC5">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备注</w:t>
            </w:r>
          </w:p>
        </w:tc>
      </w:tr>
      <w:tr w14:paraId="4B966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01E5D5D9">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581" w:type="dxa"/>
            <w:noWrap w:val="0"/>
            <w:vAlign w:val="center"/>
          </w:tcPr>
          <w:p w14:paraId="302FFE1D">
            <w:pPr>
              <w:pStyle w:val="39"/>
              <w:tabs>
                <w:tab w:val="left" w:pos="735"/>
                <w:tab w:val="left" w:pos="1440"/>
                <w:tab w:val="left" w:pos="1512"/>
              </w:tabs>
              <w:adjustRightInd/>
              <w:snapToGrid w:val="0"/>
              <w:spacing w:line="240" w:lineRule="auto"/>
              <w:textAlignment w:val="auto"/>
              <w:rPr>
                <w:rFonts w:hint="eastAsia" w:ascii="微软雅黑" w:hAnsi="微软雅黑" w:eastAsia="微软雅黑" w:cs="微软雅黑"/>
                <w:kern w:val="2"/>
                <w:sz w:val="24"/>
                <w:szCs w:val="24"/>
              </w:rPr>
            </w:pPr>
          </w:p>
        </w:tc>
        <w:tc>
          <w:tcPr>
            <w:tcW w:w="1545" w:type="dxa"/>
            <w:noWrap w:val="0"/>
            <w:vAlign w:val="center"/>
          </w:tcPr>
          <w:p w14:paraId="35655C30">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4CEA7AE1">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2B998856">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247AFBB4">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1381" w:type="dxa"/>
            <w:noWrap w:val="0"/>
            <w:vAlign w:val="center"/>
          </w:tcPr>
          <w:p w14:paraId="25B33FF5">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980" w:type="dxa"/>
            <w:noWrap w:val="0"/>
            <w:vAlign w:val="top"/>
          </w:tcPr>
          <w:p w14:paraId="3975902B">
            <w:pPr>
              <w:tabs>
                <w:tab w:val="left" w:pos="1440"/>
                <w:tab w:val="left" w:pos="1512"/>
              </w:tabs>
              <w:snapToGrid w:val="0"/>
              <w:jc w:val="left"/>
              <w:rPr>
                <w:rFonts w:hint="eastAsia" w:ascii="微软雅黑" w:hAnsi="微软雅黑" w:eastAsia="微软雅黑" w:cs="微软雅黑"/>
                <w:sz w:val="24"/>
                <w:szCs w:val="24"/>
              </w:rPr>
            </w:pPr>
          </w:p>
        </w:tc>
      </w:tr>
      <w:tr w14:paraId="5859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224B871F">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p>
        </w:tc>
        <w:tc>
          <w:tcPr>
            <w:tcW w:w="1581" w:type="dxa"/>
            <w:noWrap w:val="0"/>
            <w:vAlign w:val="center"/>
          </w:tcPr>
          <w:p w14:paraId="76F42413">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3FEF2F70">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017E630D">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371D007E">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50167F5C">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7E081154">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30A04AB7">
            <w:pPr>
              <w:tabs>
                <w:tab w:val="left" w:pos="1440"/>
                <w:tab w:val="left" w:pos="1512"/>
              </w:tabs>
              <w:snapToGrid w:val="0"/>
              <w:jc w:val="left"/>
              <w:rPr>
                <w:rFonts w:hint="eastAsia" w:ascii="微软雅黑" w:hAnsi="微软雅黑" w:eastAsia="微软雅黑" w:cs="微软雅黑"/>
                <w:sz w:val="24"/>
                <w:szCs w:val="24"/>
              </w:rPr>
            </w:pPr>
          </w:p>
        </w:tc>
      </w:tr>
      <w:tr w14:paraId="264C5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4CEC0BB3">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p>
        </w:tc>
        <w:tc>
          <w:tcPr>
            <w:tcW w:w="1581" w:type="dxa"/>
            <w:noWrap w:val="0"/>
            <w:vAlign w:val="center"/>
          </w:tcPr>
          <w:p w14:paraId="139E7E89">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5D6E6B55">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6DBE1370">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300CF503">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58D95EF5">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3CF04A2B">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09F904E2">
            <w:pPr>
              <w:tabs>
                <w:tab w:val="left" w:pos="1440"/>
                <w:tab w:val="left" w:pos="1512"/>
              </w:tabs>
              <w:snapToGrid w:val="0"/>
              <w:jc w:val="left"/>
              <w:rPr>
                <w:rFonts w:hint="eastAsia" w:ascii="微软雅黑" w:hAnsi="微软雅黑" w:eastAsia="微软雅黑" w:cs="微软雅黑"/>
                <w:sz w:val="24"/>
                <w:szCs w:val="24"/>
              </w:rPr>
            </w:pPr>
          </w:p>
        </w:tc>
      </w:tr>
    </w:tbl>
    <w:p w14:paraId="59F123A8">
      <w:pPr>
        <w:numPr>
          <w:ilvl w:val="0"/>
          <w:numId w:val="0"/>
        </w:numPr>
        <w:spacing w:line="360" w:lineRule="auto"/>
        <w:ind w:leftChars="0"/>
        <w:rPr>
          <w:rFonts w:hint="eastAsia" w:ascii="微软雅黑" w:hAnsi="微软雅黑" w:eastAsia="微软雅黑" w:cs="微软雅黑"/>
          <w:b/>
          <w:bCs/>
          <w:sz w:val="24"/>
        </w:rPr>
      </w:pPr>
      <w:r>
        <w:rPr>
          <w:rFonts w:hint="eastAsia" w:ascii="微软雅黑" w:hAnsi="微软雅黑" w:eastAsia="微软雅黑" w:cs="微软雅黑"/>
          <w:sz w:val="24"/>
          <w:lang w:val="en-US" w:eastAsia="zh-CN"/>
        </w:rPr>
        <w:t>8.4</w:t>
      </w:r>
      <w:r>
        <w:rPr>
          <w:rFonts w:hint="eastAsia" w:ascii="微软雅黑" w:hAnsi="微软雅黑" w:eastAsia="微软雅黑" w:cs="微软雅黑"/>
          <w:b/>
          <w:bCs/>
          <w:sz w:val="24"/>
        </w:rPr>
        <w:t>专用工具</w:t>
      </w:r>
    </w:p>
    <w:p w14:paraId="6896F220">
      <w:pPr>
        <w:spacing w:line="360" w:lineRule="auto"/>
        <w:ind w:left="448"/>
        <w:rPr>
          <w:rFonts w:hint="eastAsia" w:ascii="微软雅黑" w:hAnsi="微软雅黑" w:eastAsia="微软雅黑" w:cs="微软雅黑"/>
          <w:sz w:val="24"/>
        </w:rPr>
      </w:pPr>
      <w:r>
        <w:rPr>
          <w:rFonts w:hint="eastAsia" w:ascii="微软雅黑" w:hAnsi="微软雅黑" w:eastAsia="微软雅黑" w:cs="微软雅黑"/>
          <w:sz w:val="24"/>
        </w:rPr>
        <w:t>根据供货范围要求，投标人填写的专用工具供货范围详细清单格式如下：</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581"/>
        <w:gridCol w:w="1545"/>
        <w:gridCol w:w="896"/>
        <w:gridCol w:w="865"/>
        <w:gridCol w:w="1070"/>
        <w:gridCol w:w="1381"/>
        <w:gridCol w:w="980"/>
      </w:tblGrid>
      <w:tr w14:paraId="5232A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52ACF0D7">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1581" w:type="dxa"/>
            <w:noWrap w:val="0"/>
            <w:vAlign w:val="center"/>
          </w:tcPr>
          <w:p w14:paraId="7359FAAB">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名  称</w:t>
            </w:r>
          </w:p>
        </w:tc>
        <w:tc>
          <w:tcPr>
            <w:tcW w:w="1545" w:type="dxa"/>
            <w:noWrap w:val="0"/>
            <w:vAlign w:val="center"/>
          </w:tcPr>
          <w:p w14:paraId="2AB3AB34">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规格和型号</w:t>
            </w:r>
          </w:p>
        </w:tc>
        <w:tc>
          <w:tcPr>
            <w:tcW w:w="896" w:type="dxa"/>
            <w:noWrap w:val="0"/>
            <w:vAlign w:val="center"/>
          </w:tcPr>
          <w:p w14:paraId="1CF48969">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单位</w:t>
            </w:r>
          </w:p>
        </w:tc>
        <w:tc>
          <w:tcPr>
            <w:tcW w:w="865" w:type="dxa"/>
            <w:noWrap w:val="0"/>
            <w:vAlign w:val="center"/>
          </w:tcPr>
          <w:p w14:paraId="65611CC0">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070" w:type="dxa"/>
            <w:noWrap w:val="0"/>
            <w:vAlign w:val="center"/>
          </w:tcPr>
          <w:p w14:paraId="69579503">
            <w:pPr>
              <w:pStyle w:val="39"/>
              <w:keepNext/>
              <w:keepLines/>
              <w:snapToGrid w:val="0"/>
              <w:spacing w:line="240" w:lineRule="auto"/>
              <w:jc w:val="center"/>
              <w:rPr>
                <w:rFonts w:hint="eastAsia" w:ascii="微软雅黑" w:hAnsi="微软雅黑" w:eastAsia="微软雅黑" w:cs="微软雅黑"/>
                <w:kern w:val="2"/>
                <w:szCs w:val="24"/>
              </w:rPr>
            </w:pPr>
            <w:r>
              <w:rPr>
                <w:rFonts w:hint="eastAsia" w:ascii="微软雅黑" w:hAnsi="微软雅黑" w:eastAsia="微软雅黑" w:cs="微软雅黑"/>
                <w:kern w:val="2"/>
                <w:szCs w:val="24"/>
              </w:rPr>
              <w:t>产地</w:t>
            </w:r>
          </w:p>
        </w:tc>
        <w:tc>
          <w:tcPr>
            <w:tcW w:w="1381" w:type="dxa"/>
            <w:noWrap w:val="0"/>
            <w:vAlign w:val="center"/>
          </w:tcPr>
          <w:p w14:paraId="09CC1C1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生产厂家</w:t>
            </w:r>
          </w:p>
        </w:tc>
        <w:tc>
          <w:tcPr>
            <w:tcW w:w="980" w:type="dxa"/>
            <w:noWrap w:val="0"/>
            <w:vAlign w:val="center"/>
          </w:tcPr>
          <w:p w14:paraId="1BBC745D">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备注</w:t>
            </w:r>
          </w:p>
        </w:tc>
      </w:tr>
      <w:tr w14:paraId="3EB45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7D1EFBDC">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581" w:type="dxa"/>
            <w:noWrap w:val="0"/>
            <w:vAlign w:val="center"/>
          </w:tcPr>
          <w:p w14:paraId="326874FC">
            <w:pPr>
              <w:pStyle w:val="39"/>
              <w:tabs>
                <w:tab w:val="left" w:pos="735"/>
                <w:tab w:val="left" w:pos="1440"/>
                <w:tab w:val="left" w:pos="1512"/>
              </w:tabs>
              <w:adjustRightInd/>
              <w:snapToGrid w:val="0"/>
              <w:spacing w:line="240" w:lineRule="auto"/>
              <w:ind w:firstLine="240" w:firstLineChars="100"/>
              <w:textAlignment w:val="auto"/>
              <w:rPr>
                <w:rFonts w:hint="eastAsia" w:ascii="微软雅黑" w:hAnsi="微软雅黑" w:eastAsia="微软雅黑" w:cs="微软雅黑"/>
                <w:kern w:val="2"/>
                <w:szCs w:val="24"/>
              </w:rPr>
            </w:pPr>
          </w:p>
        </w:tc>
        <w:tc>
          <w:tcPr>
            <w:tcW w:w="1545" w:type="dxa"/>
            <w:noWrap w:val="0"/>
            <w:vAlign w:val="center"/>
          </w:tcPr>
          <w:p w14:paraId="27A61141">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lang w:val="en-US" w:eastAsia="zh-CN"/>
              </w:rPr>
            </w:pPr>
          </w:p>
        </w:tc>
        <w:tc>
          <w:tcPr>
            <w:tcW w:w="896" w:type="dxa"/>
            <w:noWrap w:val="0"/>
            <w:vAlign w:val="center"/>
          </w:tcPr>
          <w:p w14:paraId="08AD0E0C">
            <w:pPr>
              <w:tabs>
                <w:tab w:val="left" w:pos="1440"/>
                <w:tab w:val="left" w:pos="1512"/>
              </w:tabs>
              <w:snapToGrid w:val="0"/>
              <w:jc w:val="center"/>
              <w:rPr>
                <w:rFonts w:hint="eastAsia" w:ascii="微软雅黑" w:hAnsi="微软雅黑" w:eastAsia="微软雅黑" w:cs="微软雅黑"/>
                <w:sz w:val="24"/>
                <w:szCs w:val="24"/>
                <w:lang w:val="en-US" w:eastAsia="zh-CN"/>
              </w:rPr>
            </w:pPr>
          </w:p>
        </w:tc>
        <w:tc>
          <w:tcPr>
            <w:tcW w:w="865" w:type="dxa"/>
            <w:noWrap w:val="0"/>
            <w:vAlign w:val="center"/>
          </w:tcPr>
          <w:p w14:paraId="607B399C">
            <w:pPr>
              <w:tabs>
                <w:tab w:val="left" w:pos="1440"/>
                <w:tab w:val="left" w:pos="1512"/>
              </w:tabs>
              <w:snapToGrid w:val="0"/>
              <w:jc w:val="center"/>
              <w:rPr>
                <w:rFonts w:hint="eastAsia" w:ascii="微软雅黑" w:hAnsi="微软雅黑" w:eastAsia="微软雅黑" w:cs="微软雅黑"/>
                <w:sz w:val="24"/>
                <w:szCs w:val="24"/>
                <w:lang w:val="en-US" w:eastAsia="zh-CN"/>
              </w:rPr>
            </w:pPr>
          </w:p>
        </w:tc>
        <w:tc>
          <w:tcPr>
            <w:tcW w:w="1070" w:type="dxa"/>
            <w:noWrap w:val="0"/>
            <w:vAlign w:val="center"/>
          </w:tcPr>
          <w:p w14:paraId="3A871B51">
            <w:pPr>
              <w:tabs>
                <w:tab w:val="left" w:pos="1512"/>
              </w:tabs>
              <w:snapToGrid w:val="0"/>
              <w:ind w:right="-1350" w:firstLine="240" w:firstLineChars="100"/>
              <w:jc w:val="left"/>
              <w:rPr>
                <w:rFonts w:hint="eastAsia" w:ascii="微软雅黑" w:hAnsi="微软雅黑" w:eastAsia="微软雅黑" w:cs="微软雅黑"/>
                <w:sz w:val="24"/>
                <w:szCs w:val="24"/>
                <w:lang w:val="en-US" w:eastAsia="zh-CN"/>
              </w:rPr>
            </w:pPr>
          </w:p>
        </w:tc>
        <w:tc>
          <w:tcPr>
            <w:tcW w:w="1381" w:type="dxa"/>
            <w:noWrap w:val="0"/>
            <w:vAlign w:val="center"/>
          </w:tcPr>
          <w:p w14:paraId="5AED74A0">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980" w:type="dxa"/>
            <w:noWrap w:val="0"/>
            <w:vAlign w:val="top"/>
          </w:tcPr>
          <w:p w14:paraId="6FB659E4">
            <w:pPr>
              <w:tabs>
                <w:tab w:val="left" w:pos="1440"/>
                <w:tab w:val="left" w:pos="1512"/>
              </w:tabs>
              <w:snapToGrid w:val="0"/>
              <w:jc w:val="left"/>
              <w:rPr>
                <w:rFonts w:hint="eastAsia" w:ascii="微软雅黑" w:hAnsi="微软雅黑" w:eastAsia="微软雅黑" w:cs="微软雅黑"/>
                <w:sz w:val="24"/>
                <w:szCs w:val="24"/>
              </w:rPr>
            </w:pPr>
          </w:p>
        </w:tc>
      </w:tr>
      <w:tr w14:paraId="31FED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52DF559F">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p>
        </w:tc>
        <w:tc>
          <w:tcPr>
            <w:tcW w:w="1581" w:type="dxa"/>
            <w:noWrap w:val="0"/>
            <w:vAlign w:val="center"/>
          </w:tcPr>
          <w:p w14:paraId="067B4704">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58E80B42">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53F6034A">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106C8E51">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7C6DDD71">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233A0F1D">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2480ACA2">
            <w:pPr>
              <w:tabs>
                <w:tab w:val="left" w:pos="1440"/>
                <w:tab w:val="left" w:pos="1512"/>
              </w:tabs>
              <w:snapToGrid w:val="0"/>
              <w:jc w:val="left"/>
              <w:rPr>
                <w:rFonts w:hint="eastAsia" w:ascii="微软雅黑" w:hAnsi="微软雅黑" w:eastAsia="微软雅黑" w:cs="微软雅黑"/>
                <w:sz w:val="24"/>
                <w:szCs w:val="24"/>
              </w:rPr>
            </w:pPr>
          </w:p>
        </w:tc>
      </w:tr>
      <w:tr w14:paraId="7CB8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754" w:type="dxa"/>
            <w:noWrap w:val="0"/>
            <w:vAlign w:val="center"/>
          </w:tcPr>
          <w:p w14:paraId="0377FE16">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p>
        </w:tc>
        <w:tc>
          <w:tcPr>
            <w:tcW w:w="1581" w:type="dxa"/>
            <w:noWrap w:val="0"/>
            <w:vAlign w:val="center"/>
          </w:tcPr>
          <w:p w14:paraId="7AD3C53E">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2DBABCB1">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048000A3">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7A4E29BF">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140CF783">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4DE8E2F1">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45692EAC">
            <w:pPr>
              <w:tabs>
                <w:tab w:val="left" w:pos="1440"/>
                <w:tab w:val="left" w:pos="1512"/>
              </w:tabs>
              <w:snapToGrid w:val="0"/>
              <w:jc w:val="left"/>
              <w:rPr>
                <w:rFonts w:hint="eastAsia" w:ascii="微软雅黑" w:hAnsi="微软雅黑" w:eastAsia="微软雅黑" w:cs="微软雅黑"/>
                <w:sz w:val="24"/>
                <w:szCs w:val="24"/>
              </w:rPr>
            </w:pPr>
          </w:p>
        </w:tc>
      </w:tr>
    </w:tbl>
    <w:p w14:paraId="4F25F39E">
      <w:pPr>
        <w:spacing w:line="360" w:lineRule="auto"/>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说明：每</w:t>
      </w:r>
      <w:r>
        <w:rPr>
          <w:rFonts w:hint="eastAsia" w:ascii="微软雅黑" w:hAnsi="微软雅黑" w:eastAsia="微软雅黑" w:cs="微软雅黑"/>
          <w:sz w:val="24"/>
          <w:szCs w:val="24"/>
          <w:lang w:val="en-US" w:eastAsia="zh-CN"/>
        </w:rPr>
        <w:t>套设备</w:t>
      </w:r>
      <w:r>
        <w:rPr>
          <w:rFonts w:hint="eastAsia" w:ascii="微软雅黑" w:hAnsi="微软雅黑" w:eastAsia="微软雅黑" w:cs="微软雅黑"/>
          <w:sz w:val="24"/>
          <w:szCs w:val="24"/>
        </w:rPr>
        <w:t>至少配两套专用工具。</w:t>
      </w:r>
    </w:p>
    <w:p w14:paraId="472815AB">
      <w:pPr>
        <w:spacing w:line="360" w:lineRule="auto"/>
        <w:ind w:firstLine="360" w:firstLineChars="150"/>
        <w:rPr>
          <w:rFonts w:hint="eastAsia" w:ascii="微软雅黑" w:hAnsi="微软雅黑" w:eastAsia="微软雅黑" w:cs="微软雅黑"/>
          <w:sz w:val="24"/>
          <w:szCs w:val="24"/>
        </w:rPr>
      </w:pPr>
    </w:p>
    <w:p w14:paraId="3E99687A">
      <w:pPr>
        <w:numPr>
          <w:ilvl w:val="0"/>
          <w:numId w:val="0"/>
        </w:numPr>
        <w:tabs>
          <w:tab w:val="left" w:pos="448"/>
        </w:tabs>
        <w:spacing w:line="360" w:lineRule="auto"/>
        <w:ind w:leftChars="0"/>
        <w:rPr>
          <w:rFonts w:hint="eastAsia" w:ascii="微软雅黑" w:hAnsi="微软雅黑" w:eastAsia="微软雅黑" w:cs="微软雅黑"/>
          <w:szCs w:val="24"/>
        </w:rPr>
      </w:pPr>
      <w:r>
        <w:rPr>
          <w:rFonts w:hint="eastAsia" w:ascii="微软雅黑" w:hAnsi="微软雅黑" w:eastAsia="微软雅黑" w:cs="微软雅黑"/>
          <w:sz w:val="24"/>
          <w:lang w:val="en-US" w:eastAsia="zh-CN"/>
        </w:rPr>
        <w:t>8.5</w:t>
      </w:r>
      <w:r>
        <w:rPr>
          <w:rFonts w:hint="eastAsia" w:ascii="微软雅黑" w:hAnsi="微软雅黑" w:eastAsia="微软雅黑" w:cs="微软雅黑"/>
          <w:sz w:val="24"/>
        </w:rPr>
        <w:t>进口件清单</w:t>
      </w:r>
      <w:r>
        <w:rPr>
          <w:rFonts w:hint="eastAsia" w:ascii="微软雅黑" w:hAnsi="微软雅黑" w:eastAsia="微软雅黑" w:cs="微软雅黑"/>
          <w:sz w:val="24"/>
          <w:lang w:eastAsia="zh-CN"/>
        </w:rPr>
        <w:t>，</w:t>
      </w:r>
      <w:r>
        <w:rPr>
          <w:rFonts w:hint="eastAsia" w:ascii="微软雅黑" w:hAnsi="微软雅黑" w:eastAsia="微软雅黑" w:cs="微软雅黑"/>
          <w:sz w:val="24"/>
        </w:rPr>
        <w:t>投标人投标时应按下表提供详细的进口设备与部件清单</w:t>
      </w:r>
      <w:r>
        <w:rPr>
          <w:rFonts w:hint="eastAsia" w:ascii="微软雅黑" w:hAnsi="微软雅黑" w:eastAsia="微软雅黑" w:cs="微软雅黑"/>
          <w:szCs w:val="24"/>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581"/>
        <w:gridCol w:w="1545"/>
        <w:gridCol w:w="896"/>
        <w:gridCol w:w="865"/>
        <w:gridCol w:w="1070"/>
        <w:gridCol w:w="1381"/>
        <w:gridCol w:w="980"/>
      </w:tblGrid>
      <w:tr w14:paraId="362D8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6A1A0143">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1581" w:type="dxa"/>
            <w:noWrap w:val="0"/>
            <w:vAlign w:val="center"/>
          </w:tcPr>
          <w:p w14:paraId="3526C359">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名  称</w:t>
            </w:r>
          </w:p>
        </w:tc>
        <w:tc>
          <w:tcPr>
            <w:tcW w:w="1545" w:type="dxa"/>
            <w:noWrap w:val="0"/>
            <w:vAlign w:val="center"/>
          </w:tcPr>
          <w:p w14:paraId="6E97D951">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规格和型号</w:t>
            </w:r>
          </w:p>
        </w:tc>
        <w:tc>
          <w:tcPr>
            <w:tcW w:w="896" w:type="dxa"/>
            <w:noWrap w:val="0"/>
            <w:vAlign w:val="center"/>
          </w:tcPr>
          <w:p w14:paraId="3FE65E5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单位</w:t>
            </w:r>
          </w:p>
        </w:tc>
        <w:tc>
          <w:tcPr>
            <w:tcW w:w="865" w:type="dxa"/>
            <w:noWrap w:val="0"/>
            <w:vAlign w:val="center"/>
          </w:tcPr>
          <w:p w14:paraId="75A22FD1">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数量</w:t>
            </w:r>
          </w:p>
        </w:tc>
        <w:tc>
          <w:tcPr>
            <w:tcW w:w="1070" w:type="dxa"/>
            <w:noWrap w:val="0"/>
            <w:vAlign w:val="center"/>
          </w:tcPr>
          <w:p w14:paraId="34D8ABA2">
            <w:pPr>
              <w:pStyle w:val="39"/>
              <w:keepNext/>
              <w:keepLines/>
              <w:snapToGrid w:val="0"/>
              <w:spacing w:line="240" w:lineRule="auto"/>
              <w:jc w:val="center"/>
              <w:rPr>
                <w:rFonts w:hint="eastAsia" w:ascii="微软雅黑" w:hAnsi="微软雅黑" w:eastAsia="微软雅黑" w:cs="微软雅黑"/>
                <w:kern w:val="2"/>
                <w:szCs w:val="24"/>
              </w:rPr>
            </w:pPr>
            <w:r>
              <w:rPr>
                <w:rFonts w:hint="eastAsia" w:ascii="微软雅黑" w:hAnsi="微软雅黑" w:eastAsia="微软雅黑" w:cs="微软雅黑"/>
                <w:kern w:val="2"/>
                <w:szCs w:val="24"/>
              </w:rPr>
              <w:t>产地</w:t>
            </w:r>
          </w:p>
        </w:tc>
        <w:tc>
          <w:tcPr>
            <w:tcW w:w="1381" w:type="dxa"/>
            <w:noWrap w:val="0"/>
            <w:vAlign w:val="center"/>
          </w:tcPr>
          <w:p w14:paraId="31580F48">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生产厂家</w:t>
            </w:r>
          </w:p>
        </w:tc>
        <w:tc>
          <w:tcPr>
            <w:tcW w:w="980" w:type="dxa"/>
            <w:noWrap w:val="0"/>
            <w:vAlign w:val="center"/>
          </w:tcPr>
          <w:p w14:paraId="75DF68FA">
            <w:pPr>
              <w:keepNext/>
              <w:keepLines/>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备注</w:t>
            </w:r>
          </w:p>
        </w:tc>
      </w:tr>
      <w:tr w14:paraId="1EDC7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0EF5BE16">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1581" w:type="dxa"/>
            <w:noWrap w:val="0"/>
            <w:vAlign w:val="center"/>
          </w:tcPr>
          <w:p w14:paraId="275C0A54">
            <w:pPr>
              <w:pStyle w:val="39"/>
              <w:tabs>
                <w:tab w:val="left" w:pos="735"/>
                <w:tab w:val="left" w:pos="1440"/>
                <w:tab w:val="left" w:pos="1512"/>
              </w:tabs>
              <w:adjustRightInd/>
              <w:snapToGrid w:val="0"/>
              <w:spacing w:line="240" w:lineRule="auto"/>
              <w:textAlignment w:val="auto"/>
              <w:rPr>
                <w:rFonts w:hint="eastAsia" w:ascii="微软雅黑" w:hAnsi="微软雅黑" w:eastAsia="微软雅黑" w:cs="微软雅黑"/>
                <w:kern w:val="2"/>
                <w:szCs w:val="24"/>
              </w:rPr>
            </w:pPr>
          </w:p>
        </w:tc>
        <w:tc>
          <w:tcPr>
            <w:tcW w:w="1545" w:type="dxa"/>
            <w:noWrap w:val="0"/>
            <w:vAlign w:val="center"/>
          </w:tcPr>
          <w:p w14:paraId="2CAD3760">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16877801">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659B25D7">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09C5B41E">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1381" w:type="dxa"/>
            <w:noWrap w:val="0"/>
            <w:vAlign w:val="center"/>
          </w:tcPr>
          <w:p w14:paraId="3BFCFCB6">
            <w:pPr>
              <w:tabs>
                <w:tab w:val="left" w:pos="1512"/>
              </w:tabs>
              <w:snapToGrid w:val="0"/>
              <w:ind w:right="-1350" w:firstLine="240" w:firstLineChars="100"/>
              <w:jc w:val="left"/>
              <w:rPr>
                <w:rFonts w:hint="eastAsia" w:ascii="微软雅黑" w:hAnsi="微软雅黑" w:eastAsia="微软雅黑" w:cs="微软雅黑"/>
                <w:sz w:val="24"/>
                <w:szCs w:val="24"/>
              </w:rPr>
            </w:pPr>
          </w:p>
        </w:tc>
        <w:tc>
          <w:tcPr>
            <w:tcW w:w="980" w:type="dxa"/>
            <w:noWrap w:val="0"/>
            <w:vAlign w:val="top"/>
          </w:tcPr>
          <w:p w14:paraId="5FF6D31D">
            <w:pPr>
              <w:tabs>
                <w:tab w:val="left" w:pos="1440"/>
                <w:tab w:val="left" w:pos="1512"/>
              </w:tabs>
              <w:snapToGrid w:val="0"/>
              <w:jc w:val="left"/>
              <w:rPr>
                <w:rFonts w:hint="eastAsia" w:ascii="微软雅黑" w:hAnsi="微软雅黑" w:eastAsia="微软雅黑" w:cs="微软雅黑"/>
                <w:sz w:val="24"/>
                <w:szCs w:val="24"/>
              </w:rPr>
            </w:pPr>
          </w:p>
        </w:tc>
      </w:tr>
      <w:tr w14:paraId="0FF71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754" w:type="dxa"/>
            <w:noWrap w:val="0"/>
            <w:vAlign w:val="center"/>
          </w:tcPr>
          <w:p w14:paraId="00545B17">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p>
        </w:tc>
        <w:tc>
          <w:tcPr>
            <w:tcW w:w="1581" w:type="dxa"/>
            <w:noWrap w:val="0"/>
            <w:vAlign w:val="center"/>
          </w:tcPr>
          <w:p w14:paraId="54A6B6CC">
            <w:pPr>
              <w:tabs>
                <w:tab w:val="left" w:pos="735"/>
                <w:tab w:val="left" w:pos="1440"/>
                <w:tab w:val="left" w:pos="1512"/>
              </w:tabs>
              <w:snapToGrid w:val="0"/>
              <w:jc w:val="left"/>
              <w:rPr>
                <w:rFonts w:hint="eastAsia" w:ascii="微软雅黑" w:hAnsi="微软雅黑" w:eastAsia="微软雅黑" w:cs="微软雅黑"/>
                <w:sz w:val="24"/>
                <w:szCs w:val="24"/>
              </w:rPr>
            </w:pPr>
          </w:p>
        </w:tc>
        <w:tc>
          <w:tcPr>
            <w:tcW w:w="1545" w:type="dxa"/>
            <w:noWrap w:val="0"/>
            <w:vAlign w:val="center"/>
          </w:tcPr>
          <w:p w14:paraId="0E810421">
            <w:pPr>
              <w:pStyle w:val="10"/>
              <w:tabs>
                <w:tab w:val="left" w:pos="0"/>
                <w:tab w:val="left" w:pos="1512"/>
              </w:tabs>
              <w:snapToGrid w:val="0"/>
              <w:spacing w:line="240" w:lineRule="auto"/>
              <w:ind w:hanging="90"/>
              <w:rPr>
                <w:rFonts w:hint="eastAsia" w:ascii="微软雅黑" w:hAnsi="微软雅黑" w:eastAsia="微软雅黑" w:cs="微软雅黑"/>
                <w:kern w:val="2"/>
                <w:sz w:val="24"/>
                <w:szCs w:val="24"/>
              </w:rPr>
            </w:pPr>
          </w:p>
        </w:tc>
        <w:tc>
          <w:tcPr>
            <w:tcW w:w="896" w:type="dxa"/>
            <w:noWrap w:val="0"/>
            <w:vAlign w:val="center"/>
          </w:tcPr>
          <w:p w14:paraId="02746583">
            <w:pPr>
              <w:tabs>
                <w:tab w:val="left" w:pos="1440"/>
                <w:tab w:val="left" w:pos="1512"/>
              </w:tabs>
              <w:snapToGrid w:val="0"/>
              <w:jc w:val="center"/>
              <w:rPr>
                <w:rFonts w:hint="eastAsia" w:ascii="微软雅黑" w:hAnsi="微软雅黑" w:eastAsia="微软雅黑" w:cs="微软雅黑"/>
                <w:sz w:val="24"/>
                <w:szCs w:val="24"/>
              </w:rPr>
            </w:pPr>
          </w:p>
        </w:tc>
        <w:tc>
          <w:tcPr>
            <w:tcW w:w="865" w:type="dxa"/>
            <w:noWrap w:val="0"/>
            <w:vAlign w:val="center"/>
          </w:tcPr>
          <w:p w14:paraId="766F67F9">
            <w:pPr>
              <w:tabs>
                <w:tab w:val="left" w:pos="1440"/>
                <w:tab w:val="left" w:pos="1512"/>
              </w:tabs>
              <w:snapToGrid w:val="0"/>
              <w:jc w:val="center"/>
              <w:rPr>
                <w:rFonts w:hint="eastAsia" w:ascii="微软雅黑" w:hAnsi="微软雅黑" w:eastAsia="微软雅黑" w:cs="微软雅黑"/>
                <w:sz w:val="24"/>
                <w:szCs w:val="24"/>
              </w:rPr>
            </w:pPr>
          </w:p>
        </w:tc>
        <w:tc>
          <w:tcPr>
            <w:tcW w:w="1070" w:type="dxa"/>
            <w:noWrap w:val="0"/>
            <w:vAlign w:val="center"/>
          </w:tcPr>
          <w:p w14:paraId="27005778">
            <w:pPr>
              <w:tabs>
                <w:tab w:val="left" w:pos="1440"/>
                <w:tab w:val="left" w:pos="1512"/>
              </w:tabs>
              <w:snapToGrid w:val="0"/>
              <w:jc w:val="center"/>
              <w:rPr>
                <w:rFonts w:hint="eastAsia" w:ascii="微软雅黑" w:hAnsi="微软雅黑" w:eastAsia="微软雅黑" w:cs="微软雅黑"/>
                <w:sz w:val="24"/>
                <w:szCs w:val="24"/>
              </w:rPr>
            </w:pPr>
          </w:p>
        </w:tc>
        <w:tc>
          <w:tcPr>
            <w:tcW w:w="1381" w:type="dxa"/>
            <w:noWrap w:val="0"/>
            <w:vAlign w:val="center"/>
          </w:tcPr>
          <w:p w14:paraId="60AB5AD9">
            <w:pPr>
              <w:tabs>
                <w:tab w:val="left" w:pos="1440"/>
                <w:tab w:val="left" w:pos="1512"/>
              </w:tabs>
              <w:snapToGrid w:val="0"/>
              <w:jc w:val="center"/>
              <w:rPr>
                <w:rFonts w:hint="eastAsia" w:ascii="微软雅黑" w:hAnsi="微软雅黑" w:eastAsia="微软雅黑" w:cs="微软雅黑"/>
                <w:sz w:val="24"/>
                <w:szCs w:val="24"/>
              </w:rPr>
            </w:pPr>
          </w:p>
        </w:tc>
        <w:tc>
          <w:tcPr>
            <w:tcW w:w="980" w:type="dxa"/>
            <w:noWrap w:val="0"/>
            <w:vAlign w:val="top"/>
          </w:tcPr>
          <w:p w14:paraId="5F04B4E8">
            <w:pPr>
              <w:tabs>
                <w:tab w:val="left" w:pos="1440"/>
                <w:tab w:val="left" w:pos="1512"/>
              </w:tabs>
              <w:snapToGrid w:val="0"/>
              <w:jc w:val="left"/>
              <w:rPr>
                <w:rFonts w:hint="eastAsia" w:ascii="微软雅黑" w:hAnsi="微软雅黑" w:eastAsia="微软雅黑" w:cs="微软雅黑"/>
                <w:sz w:val="24"/>
                <w:szCs w:val="24"/>
              </w:rPr>
            </w:pPr>
          </w:p>
        </w:tc>
      </w:tr>
    </w:tbl>
    <w:p w14:paraId="1328B1FC">
      <w:pPr>
        <w:spacing w:line="360" w:lineRule="auto"/>
        <w:rPr>
          <w:rFonts w:hint="eastAsia" w:ascii="微软雅黑" w:hAnsi="微软雅黑" w:eastAsia="微软雅黑" w:cs="微软雅黑"/>
          <w:b/>
          <w:sz w:val="24"/>
        </w:rPr>
      </w:pPr>
    </w:p>
    <w:p w14:paraId="5DDE3CBB">
      <w:pPr>
        <w:spacing w:line="480" w:lineRule="exact"/>
        <w:rPr>
          <w:rFonts w:hint="eastAsia" w:ascii="微软雅黑" w:hAnsi="微软雅黑" w:eastAsia="微软雅黑" w:cs="微软雅黑"/>
          <w:bCs/>
          <w:sz w:val="24"/>
        </w:rPr>
      </w:pPr>
      <w:r>
        <w:rPr>
          <w:rFonts w:hint="eastAsia" w:ascii="微软雅黑" w:hAnsi="微软雅黑" w:eastAsia="微软雅黑" w:cs="微软雅黑"/>
          <w:b/>
          <w:sz w:val="24"/>
          <w:lang w:val="en-US" w:eastAsia="zh-CN"/>
        </w:rPr>
        <w:t>九</w:t>
      </w:r>
      <w:r>
        <w:rPr>
          <w:rFonts w:hint="eastAsia" w:ascii="微软雅黑" w:hAnsi="微软雅黑" w:eastAsia="微软雅黑" w:cs="微软雅黑"/>
          <w:b/>
          <w:sz w:val="24"/>
        </w:rPr>
        <w:t>、技术资料</w:t>
      </w:r>
      <w:r>
        <w:rPr>
          <w:rFonts w:hint="eastAsia" w:ascii="微软雅黑" w:hAnsi="微软雅黑" w:eastAsia="微软雅黑" w:cs="微软雅黑"/>
          <w:bCs/>
          <w:sz w:val="24"/>
        </w:rPr>
        <w:t>（包括但不限于）</w:t>
      </w:r>
    </w:p>
    <w:p w14:paraId="2B6DF8A1">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9</w:t>
      </w:r>
      <w:r>
        <w:rPr>
          <w:rFonts w:hint="eastAsia" w:ascii="微软雅黑" w:hAnsi="微软雅黑" w:eastAsia="微软雅黑" w:cs="微软雅黑"/>
          <w:sz w:val="24"/>
        </w:rPr>
        <w:t>.1 随投标书提供的图纸：</w:t>
      </w:r>
    </w:p>
    <w:p w14:paraId="123A7B5A">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9</w:t>
      </w:r>
      <w:r>
        <w:rPr>
          <w:rFonts w:hint="eastAsia" w:ascii="微软雅黑" w:hAnsi="微软雅黑" w:eastAsia="微软雅黑" w:cs="微软雅黑"/>
          <w:sz w:val="24"/>
        </w:rPr>
        <w:t>.1.1一般资料</w:t>
      </w:r>
    </w:p>
    <w:p w14:paraId="6621253D">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（1）技术规范书所要求的技术数据。</w:t>
      </w:r>
    </w:p>
    <w:p w14:paraId="3FEFDB4F">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（2）工厂质量认证材料、工厂概况、业绩表。</w:t>
      </w:r>
    </w:p>
    <w:p w14:paraId="461C329F">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（3）外协和外购的重要部件的生产许可证。</w:t>
      </w:r>
    </w:p>
    <w:p w14:paraId="146E4945">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（4）设备产品（包括主要外购件）生产许可证。</w:t>
      </w:r>
    </w:p>
    <w:p w14:paraId="7063BD7B">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（5）已投运产品曾发生过的问题、解决办法及效果，本次拟采取那些完善措施。</w:t>
      </w:r>
    </w:p>
    <w:p w14:paraId="31D35854">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（6）为说明投标书而必须的图纸和其它文件。</w:t>
      </w:r>
    </w:p>
    <w:p w14:paraId="7A91F201">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9</w:t>
      </w:r>
      <w:r>
        <w:rPr>
          <w:rFonts w:hint="eastAsia" w:ascii="微软雅黑" w:hAnsi="微软雅黑" w:eastAsia="微软雅黑" w:cs="微软雅黑"/>
          <w:sz w:val="24"/>
        </w:rPr>
        <w:t>.1.2技术资料</w:t>
      </w:r>
    </w:p>
    <w:p w14:paraId="746C4483">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（1）运行维护说明书。</w:t>
      </w:r>
    </w:p>
    <w:p w14:paraId="711D123D">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（2）供货范围清单、备品备件清单。</w:t>
      </w:r>
    </w:p>
    <w:p w14:paraId="00F9BB4E">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（3）设备部件明细表（含规范、数量、重量和材料）。</w:t>
      </w:r>
    </w:p>
    <w:p w14:paraId="073CA351">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（4）安装调试和运行、维修说明书。</w:t>
      </w:r>
    </w:p>
    <w:p w14:paraId="3E61245D">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（5）备件及专用工具清单。</w:t>
      </w:r>
    </w:p>
    <w:p w14:paraId="06ABF1FC">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（6）进口设备及部件清单。</w:t>
      </w:r>
    </w:p>
    <w:p w14:paraId="2FC944EE">
      <w:pPr>
        <w:snapToGrid w:val="0"/>
        <w:spacing w:line="480" w:lineRule="exact"/>
        <w:rPr>
          <w:rFonts w:hint="eastAsia" w:ascii="微软雅黑" w:hAnsi="微软雅黑" w:eastAsia="微软雅黑" w:cs="微软雅黑"/>
          <w:sz w:val="24"/>
        </w:rPr>
      </w:pPr>
      <w:r>
        <w:rPr>
          <w:rFonts w:hint="eastAsia" w:ascii="微软雅黑" w:hAnsi="微软雅黑" w:eastAsia="微软雅黑" w:cs="微软雅黑"/>
          <w:sz w:val="24"/>
        </w:rPr>
        <w:t>（7）检验记录、试验报告及质量合格证等出厂报告。</w:t>
      </w:r>
    </w:p>
    <w:p w14:paraId="6446A012">
      <w:pPr>
        <w:widowControl/>
        <w:snapToGrid w:val="0"/>
        <w:spacing w:line="480" w:lineRule="exact"/>
        <w:textAlignment w:val="bottom"/>
        <w:rPr>
          <w:rFonts w:hint="eastAsia" w:ascii="微软雅黑" w:hAnsi="微软雅黑" w:eastAsia="微软雅黑" w:cs="微软雅黑"/>
          <w:sz w:val="24"/>
          <w:lang w:val="sq-AL"/>
        </w:rPr>
      </w:pPr>
      <w:r>
        <w:rPr>
          <w:rFonts w:hint="eastAsia" w:ascii="微软雅黑" w:hAnsi="微软雅黑" w:eastAsia="微软雅黑" w:cs="微软雅黑"/>
          <w:sz w:val="24"/>
          <w:lang w:val="en-US" w:eastAsia="zh-CN"/>
        </w:rPr>
        <w:t>9</w:t>
      </w:r>
      <w:r>
        <w:rPr>
          <w:rFonts w:hint="eastAsia" w:ascii="微软雅黑" w:hAnsi="微软雅黑" w:eastAsia="微软雅黑" w:cs="微软雅黑"/>
          <w:sz w:val="24"/>
        </w:rPr>
        <w:t xml:space="preserve">.2 </w:t>
      </w:r>
      <w:r>
        <w:rPr>
          <w:rFonts w:hint="eastAsia" w:ascii="微软雅黑" w:hAnsi="微软雅黑" w:eastAsia="微软雅黑" w:cs="微软雅黑"/>
          <w:sz w:val="24"/>
          <w:lang w:val="sq-AL"/>
        </w:rPr>
        <w:t>控制资料</w:t>
      </w:r>
    </w:p>
    <w:p w14:paraId="35B9EA1B">
      <w:pPr>
        <w:snapToGrid w:val="0"/>
        <w:spacing w:line="480" w:lineRule="exact"/>
        <w:ind w:left="600" w:hanging="600" w:hangingChars="250"/>
        <w:rPr>
          <w:rFonts w:hint="eastAsia" w:ascii="微软雅黑" w:hAnsi="微软雅黑" w:eastAsia="微软雅黑" w:cs="微软雅黑"/>
          <w:sz w:val="24"/>
          <w:lang w:val="sq-AL"/>
        </w:rPr>
      </w:pPr>
      <w:r>
        <w:rPr>
          <w:rFonts w:hint="eastAsia" w:ascii="微软雅黑" w:hAnsi="微软雅黑" w:eastAsia="微软雅黑" w:cs="微软雅黑"/>
          <w:sz w:val="24"/>
          <w:lang w:val="sq-AL"/>
        </w:rPr>
        <w:t>（1）</w:t>
      </w:r>
      <w:r>
        <w:rPr>
          <w:rFonts w:hint="eastAsia" w:ascii="微软雅黑" w:hAnsi="微软雅黑" w:eastAsia="微软雅黑" w:cs="微软雅黑"/>
          <w:sz w:val="24"/>
        </w:rPr>
        <w:t>控制原理图、接线图、工艺流程图、测点明细表及测量参数的设定值，仪表和测量元件清单，控制、保护、联锁要求；报警、保护条件及顺控逻辑图等。</w:t>
      </w:r>
    </w:p>
    <w:p w14:paraId="44F6EF6A">
      <w:pPr>
        <w:snapToGrid w:val="0"/>
        <w:spacing w:line="480" w:lineRule="exact"/>
        <w:rPr>
          <w:rFonts w:hint="eastAsia" w:ascii="微软雅黑" w:hAnsi="微软雅黑" w:eastAsia="微软雅黑" w:cs="微软雅黑"/>
          <w:sz w:val="24"/>
          <w:lang w:val="sq-AL"/>
        </w:rPr>
      </w:pPr>
      <w:r>
        <w:rPr>
          <w:rFonts w:hint="eastAsia" w:ascii="微软雅黑" w:hAnsi="微软雅黑" w:eastAsia="微软雅黑" w:cs="微软雅黑"/>
          <w:sz w:val="24"/>
          <w:lang w:val="sq-AL"/>
        </w:rPr>
        <w:t>（</w:t>
      </w:r>
      <w:r>
        <w:rPr>
          <w:rFonts w:hint="eastAsia" w:ascii="微软雅黑" w:hAnsi="微软雅黑" w:eastAsia="微软雅黑" w:cs="微软雅黑"/>
          <w:sz w:val="24"/>
        </w:rPr>
        <w:t>2</w:t>
      </w:r>
      <w:r>
        <w:rPr>
          <w:rFonts w:hint="eastAsia" w:ascii="微软雅黑" w:hAnsi="微软雅黑" w:eastAsia="微软雅黑" w:cs="微软雅黑"/>
          <w:sz w:val="24"/>
          <w:lang w:val="sq-AL"/>
        </w:rPr>
        <w:t>）</w:t>
      </w:r>
      <w:r>
        <w:rPr>
          <w:rFonts w:hint="eastAsia" w:ascii="微软雅黑" w:hAnsi="微软雅黑" w:eastAsia="微软雅黑" w:cs="微软雅黑"/>
          <w:sz w:val="24"/>
          <w:lang w:val="en-US" w:eastAsia="zh-CN"/>
        </w:rPr>
        <w:t>设备</w:t>
      </w:r>
      <w:r>
        <w:rPr>
          <w:rFonts w:hint="eastAsia" w:ascii="微软雅黑" w:hAnsi="微软雅黑" w:eastAsia="微软雅黑" w:cs="微软雅黑"/>
          <w:sz w:val="24"/>
          <w:lang w:val="sq-AL"/>
        </w:rPr>
        <w:t>控制测点接线盒布置图及接线盒出线盒图。</w:t>
      </w:r>
    </w:p>
    <w:p w14:paraId="201E8347">
      <w:pPr>
        <w:snapToGrid w:val="0"/>
        <w:spacing w:line="480" w:lineRule="exact"/>
        <w:ind w:left="600" w:hanging="600" w:hangingChars="250"/>
        <w:rPr>
          <w:rFonts w:hint="eastAsia" w:ascii="微软雅黑" w:hAnsi="微软雅黑" w:eastAsia="微软雅黑" w:cs="微软雅黑"/>
          <w:sz w:val="24"/>
          <w:lang w:val="sq-AL"/>
        </w:rPr>
      </w:pPr>
      <w:r>
        <w:rPr>
          <w:rFonts w:hint="eastAsia" w:ascii="微软雅黑" w:hAnsi="微软雅黑" w:eastAsia="微软雅黑" w:cs="微软雅黑"/>
          <w:sz w:val="24"/>
          <w:lang w:val="sq-AL"/>
        </w:rPr>
        <w:t>（</w:t>
      </w:r>
      <w:r>
        <w:rPr>
          <w:rFonts w:hint="eastAsia" w:ascii="微软雅黑" w:hAnsi="微软雅黑" w:eastAsia="微软雅黑" w:cs="微软雅黑"/>
          <w:sz w:val="24"/>
        </w:rPr>
        <w:t>3</w:t>
      </w:r>
      <w:r>
        <w:rPr>
          <w:rFonts w:hint="eastAsia" w:ascii="微软雅黑" w:hAnsi="微软雅黑" w:eastAsia="微软雅黑" w:cs="微软雅黑"/>
          <w:sz w:val="24"/>
          <w:lang w:val="sq-AL"/>
        </w:rPr>
        <w:t>）一次表计元件清单。</w:t>
      </w:r>
    </w:p>
    <w:p w14:paraId="05E2948D">
      <w:pPr>
        <w:spacing w:line="480" w:lineRule="exact"/>
        <w:rPr>
          <w:rFonts w:hint="eastAsia" w:ascii="微软雅黑" w:hAnsi="微软雅黑" w:eastAsia="微软雅黑" w:cs="微软雅黑"/>
          <w:b/>
          <w:sz w:val="24"/>
        </w:rPr>
      </w:pPr>
      <w:r>
        <w:rPr>
          <w:rFonts w:hint="eastAsia" w:ascii="微软雅黑" w:hAnsi="微软雅黑" w:eastAsia="微软雅黑" w:cs="微软雅黑"/>
          <w:b/>
          <w:sz w:val="24"/>
          <w:lang w:val="en-US" w:eastAsia="zh-CN"/>
        </w:rPr>
        <w:t>十</w:t>
      </w:r>
      <w:r>
        <w:rPr>
          <w:rFonts w:hint="eastAsia" w:ascii="微软雅黑" w:hAnsi="微软雅黑" w:eastAsia="微软雅黑" w:cs="微软雅黑"/>
          <w:b/>
          <w:sz w:val="24"/>
        </w:rPr>
        <w:t>、技术服务及其他</w:t>
      </w:r>
    </w:p>
    <w:p w14:paraId="15894CD5">
      <w:pPr>
        <w:tabs>
          <w:tab w:val="left" w:pos="480"/>
          <w:tab w:val="left" w:pos="3480"/>
        </w:tabs>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10</w:t>
      </w:r>
      <w:r>
        <w:rPr>
          <w:rFonts w:hint="eastAsia" w:ascii="微软雅黑" w:hAnsi="微软雅黑" w:eastAsia="微软雅黑" w:cs="微软雅黑"/>
          <w:sz w:val="24"/>
        </w:rPr>
        <w:t xml:space="preserve">.1 </w:t>
      </w:r>
      <w:r>
        <w:rPr>
          <w:rFonts w:hint="eastAsia" w:ascii="微软雅黑" w:hAnsi="微软雅黑" w:eastAsia="微软雅黑" w:cs="微软雅黑"/>
          <w:sz w:val="24"/>
          <w:lang w:eastAsia="zh-CN"/>
        </w:rPr>
        <w:t>招标方</w:t>
      </w:r>
      <w:r>
        <w:rPr>
          <w:rFonts w:hint="eastAsia" w:ascii="微软雅黑" w:hAnsi="微软雅黑" w:eastAsia="微软雅黑" w:cs="微软雅黑"/>
          <w:sz w:val="24"/>
        </w:rPr>
        <w:t>不对产品质量以及由于</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选型、图纸、设计、制造等原因出现的问题负有任何责任。</w:t>
      </w:r>
    </w:p>
    <w:p w14:paraId="21FE0948">
      <w:pPr>
        <w:tabs>
          <w:tab w:val="left" w:pos="420"/>
          <w:tab w:val="left" w:pos="480"/>
          <w:tab w:val="left" w:pos="3480"/>
        </w:tabs>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10</w:t>
      </w:r>
      <w:r>
        <w:rPr>
          <w:rFonts w:hint="eastAsia" w:ascii="微软雅黑" w:hAnsi="微软雅黑" w:eastAsia="微软雅黑" w:cs="微软雅黑"/>
          <w:sz w:val="24"/>
        </w:rPr>
        <w:t>.2</w:t>
      </w:r>
      <w:r>
        <w:rPr>
          <w:rFonts w:hint="eastAsia" w:ascii="微软雅黑" w:hAnsi="微软雅黑" w:eastAsia="微软雅黑" w:cs="微软雅黑"/>
          <w:sz w:val="24"/>
          <w:lang w:val="en-US" w:eastAsia="zh-CN"/>
        </w:rPr>
        <w:t>除铁器整套设备在</w:t>
      </w:r>
      <w:r>
        <w:rPr>
          <w:rFonts w:hint="eastAsia" w:ascii="微软雅黑" w:hAnsi="微软雅黑" w:eastAsia="微软雅黑" w:cs="微软雅黑"/>
          <w:sz w:val="24"/>
        </w:rPr>
        <w:t>安装、调试、运行时，</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应免费派专业技术人员到现场进行安装，并无偿解决安装过程中出现的由于设计和制造等原因所造成的一切问题；在此期间，</w:t>
      </w:r>
      <w:r>
        <w:rPr>
          <w:rFonts w:hint="eastAsia" w:ascii="微软雅黑" w:hAnsi="微软雅黑" w:eastAsia="微软雅黑" w:cs="微软雅黑"/>
          <w:sz w:val="24"/>
          <w:lang w:eastAsia="zh-CN"/>
        </w:rPr>
        <w:t>招标方</w:t>
      </w:r>
      <w:r>
        <w:rPr>
          <w:rFonts w:hint="eastAsia" w:ascii="微软雅黑" w:hAnsi="微软雅黑" w:eastAsia="微软雅黑" w:cs="微软雅黑"/>
          <w:sz w:val="24"/>
        </w:rPr>
        <w:t>不提供</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技术人员的食宿以及其它任何差旅费用。</w:t>
      </w:r>
    </w:p>
    <w:p w14:paraId="61624570">
      <w:pPr>
        <w:tabs>
          <w:tab w:val="left" w:pos="420"/>
          <w:tab w:val="left" w:pos="480"/>
          <w:tab w:val="left" w:pos="3480"/>
        </w:tabs>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10</w:t>
      </w:r>
      <w:r>
        <w:rPr>
          <w:rFonts w:hint="eastAsia" w:ascii="微软雅黑" w:hAnsi="微软雅黑" w:eastAsia="微软雅黑" w:cs="微软雅黑"/>
          <w:sz w:val="24"/>
        </w:rPr>
        <w:t>.3</w:t>
      </w:r>
      <w:r>
        <w:rPr>
          <w:rFonts w:hint="eastAsia" w:ascii="微软雅黑" w:hAnsi="微软雅黑" w:eastAsia="微软雅黑" w:cs="微软雅黑"/>
          <w:sz w:val="24"/>
          <w:szCs w:val="24"/>
          <w:lang w:val="en-US" w:eastAsia="zh-CN"/>
        </w:rPr>
        <w:t>除铁器</w:t>
      </w:r>
      <w:r>
        <w:rPr>
          <w:rFonts w:hint="eastAsia" w:ascii="微软雅黑" w:hAnsi="微软雅黑" w:eastAsia="微软雅黑" w:cs="微软雅黑"/>
          <w:sz w:val="24"/>
          <w:lang w:val="en-US" w:eastAsia="zh-CN"/>
        </w:rPr>
        <w:t>整套</w:t>
      </w:r>
      <w:r>
        <w:rPr>
          <w:rFonts w:hint="eastAsia" w:ascii="微软雅黑" w:hAnsi="微软雅黑" w:eastAsia="微软雅黑" w:cs="微软雅黑"/>
          <w:sz w:val="24"/>
          <w:szCs w:val="24"/>
          <w:lang w:val="en-US" w:eastAsia="zh-CN"/>
        </w:rPr>
        <w:t>设备</w:t>
      </w:r>
      <w:r>
        <w:rPr>
          <w:rFonts w:hint="eastAsia" w:ascii="微软雅黑" w:hAnsi="微软雅黑" w:eastAsia="微软雅黑" w:cs="微软雅黑"/>
          <w:sz w:val="24"/>
        </w:rPr>
        <w:t>安装完毕后，由</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使之达到良好性能要求满足技术协议中各项技术要求，若达不到技术要求，由</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负责无偿解决，使之达到技术要求。</w:t>
      </w:r>
    </w:p>
    <w:p w14:paraId="07FCA0C7">
      <w:pPr>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10</w:t>
      </w:r>
      <w:r>
        <w:rPr>
          <w:rFonts w:hint="eastAsia" w:ascii="微软雅黑" w:hAnsi="微软雅黑" w:eastAsia="微软雅黑" w:cs="微软雅黑"/>
          <w:sz w:val="24"/>
        </w:rPr>
        <w:t>.4考核指标</w:t>
      </w:r>
    </w:p>
    <w:p w14:paraId="752D1966">
      <w:pPr>
        <w:spacing w:line="480" w:lineRule="exact"/>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必须保证</w:t>
      </w:r>
      <w:r>
        <w:rPr>
          <w:rFonts w:hint="eastAsia" w:ascii="微软雅黑" w:hAnsi="微软雅黑" w:eastAsia="微软雅黑" w:cs="微软雅黑"/>
          <w:sz w:val="24"/>
          <w:szCs w:val="24"/>
          <w:lang w:val="en-US" w:eastAsia="zh-CN"/>
        </w:rPr>
        <w:t>除铁器</w:t>
      </w:r>
      <w:r>
        <w:rPr>
          <w:rFonts w:hint="eastAsia" w:ascii="微软雅黑" w:hAnsi="微软雅黑" w:eastAsia="微软雅黑" w:cs="微软雅黑"/>
          <w:sz w:val="24"/>
          <w:lang w:val="en-US" w:eastAsia="zh-CN"/>
        </w:rPr>
        <w:t>整套</w:t>
      </w:r>
      <w:r>
        <w:rPr>
          <w:rFonts w:hint="eastAsia" w:ascii="微软雅黑" w:hAnsi="微软雅黑" w:eastAsia="微软雅黑" w:cs="微软雅黑"/>
          <w:sz w:val="24"/>
          <w:szCs w:val="24"/>
          <w:lang w:val="en-US" w:eastAsia="zh-CN"/>
        </w:rPr>
        <w:t>设备</w:t>
      </w:r>
      <w:r>
        <w:rPr>
          <w:rFonts w:hint="eastAsia" w:ascii="微软雅黑" w:hAnsi="微软雅黑" w:eastAsia="微软雅黑" w:cs="微软雅黑"/>
          <w:sz w:val="24"/>
        </w:rPr>
        <w:t>满足本技术协议质量保证中全部要求，若达不到以上技术指标，</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负责无偿解决，同时负责赔偿相应全部损失，并扣除全部质保金，使之达到技术要求。</w:t>
      </w:r>
    </w:p>
    <w:p w14:paraId="0E6CD5B5">
      <w:pPr>
        <w:spacing w:line="480" w:lineRule="exact"/>
        <w:rPr>
          <w:rFonts w:hint="eastAsia" w:ascii="微软雅黑" w:hAnsi="微软雅黑" w:eastAsia="微软雅黑" w:cs="微软雅黑"/>
          <w:sz w:val="24"/>
          <w:highlight w:val="none"/>
        </w:rPr>
      </w:pPr>
      <w:r>
        <w:rPr>
          <w:rFonts w:hint="eastAsia" w:ascii="微软雅黑" w:hAnsi="微软雅黑" w:eastAsia="微软雅黑" w:cs="微软雅黑"/>
          <w:sz w:val="24"/>
          <w:lang w:val="en-US" w:eastAsia="zh-CN"/>
        </w:rPr>
        <w:t>10</w:t>
      </w:r>
      <w:r>
        <w:rPr>
          <w:rFonts w:hint="eastAsia" w:ascii="微软雅黑" w:hAnsi="微软雅黑" w:eastAsia="微软雅黑" w:cs="微软雅黑"/>
          <w:sz w:val="24"/>
        </w:rPr>
        <w:t>.5若</w:t>
      </w:r>
      <w:r>
        <w:rPr>
          <w:rFonts w:hint="eastAsia" w:ascii="微软雅黑" w:hAnsi="微软雅黑" w:eastAsia="微软雅黑" w:cs="微软雅黑"/>
          <w:sz w:val="24"/>
          <w:szCs w:val="24"/>
          <w:lang w:val="en-US" w:eastAsia="zh-CN"/>
        </w:rPr>
        <w:t>除铁器</w:t>
      </w:r>
      <w:r>
        <w:rPr>
          <w:rFonts w:hint="eastAsia" w:ascii="微软雅黑" w:hAnsi="微软雅黑" w:eastAsia="微软雅黑" w:cs="微软雅黑"/>
          <w:sz w:val="24"/>
          <w:lang w:val="en-US" w:eastAsia="zh-CN"/>
        </w:rPr>
        <w:t>整套</w:t>
      </w:r>
      <w:r>
        <w:rPr>
          <w:rFonts w:hint="eastAsia" w:ascii="微软雅黑" w:hAnsi="微软雅黑" w:eastAsia="微软雅黑" w:cs="微软雅黑"/>
          <w:sz w:val="24"/>
          <w:szCs w:val="24"/>
          <w:lang w:val="en-US" w:eastAsia="zh-CN"/>
        </w:rPr>
        <w:t>设备</w:t>
      </w:r>
      <w:r>
        <w:rPr>
          <w:rFonts w:hint="eastAsia" w:ascii="微软雅黑" w:hAnsi="微软雅黑" w:eastAsia="微软雅黑" w:cs="微软雅黑"/>
          <w:sz w:val="24"/>
        </w:rPr>
        <w:t>出现质量问题或需要进行相关现场技术服务时，</w:t>
      </w:r>
      <w:r>
        <w:rPr>
          <w:rFonts w:hint="eastAsia" w:ascii="微软雅黑" w:hAnsi="微软雅黑" w:eastAsia="微软雅黑" w:cs="微软雅黑"/>
          <w:sz w:val="24"/>
          <w:lang w:eastAsia="zh-CN"/>
        </w:rPr>
        <w:t>投标</w:t>
      </w:r>
      <w:r>
        <w:rPr>
          <w:rFonts w:hint="eastAsia" w:ascii="微软雅黑" w:hAnsi="微软雅黑" w:eastAsia="微软雅黑" w:cs="微软雅黑"/>
          <w:sz w:val="24"/>
          <w:highlight w:val="none"/>
          <w:lang w:eastAsia="zh-CN"/>
        </w:rPr>
        <w:t>方</w:t>
      </w:r>
      <w:r>
        <w:rPr>
          <w:rFonts w:hint="eastAsia" w:ascii="微软雅黑" w:hAnsi="微软雅黑" w:eastAsia="微软雅黑" w:cs="微软雅黑"/>
          <w:sz w:val="24"/>
          <w:highlight w:val="none"/>
        </w:rPr>
        <w:t>必须在接到</w:t>
      </w:r>
      <w:r>
        <w:rPr>
          <w:rFonts w:hint="eastAsia" w:ascii="微软雅黑" w:hAnsi="微软雅黑" w:eastAsia="微软雅黑" w:cs="微软雅黑"/>
          <w:sz w:val="24"/>
          <w:highlight w:val="none"/>
          <w:lang w:eastAsia="zh-CN"/>
        </w:rPr>
        <w:t>招标方</w:t>
      </w:r>
      <w:r>
        <w:rPr>
          <w:rFonts w:hint="eastAsia" w:ascii="微软雅黑" w:hAnsi="微软雅黑" w:eastAsia="微软雅黑" w:cs="微软雅黑"/>
          <w:sz w:val="24"/>
          <w:highlight w:val="none"/>
        </w:rPr>
        <w:t>通知后12小时内作出答复，并根据需要，在24小时内派技术服务人员到达现场处理相关问题，相关费用由</w:t>
      </w:r>
      <w:r>
        <w:rPr>
          <w:rFonts w:hint="eastAsia" w:ascii="微软雅黑" w:hAnsi="微软雅黑" w:eastAsia="微软雅黑" w:cs="微软雅黑"/>
          <w:sz w:val="24"/>
          <w:highlight w:val="none"/>
          <w:lang w:eastAsia="zh-CN"/>
        </w:rPr>
        <w:t>投标方</w:t>
      </w:r>
      <w:r>
        <w:rPr>
          <w:rFonts w:hint="eastAsia" w:ascii="微软雅黑" w:hAnsi="微软雅黑" w:eastAsia="微软雅黑" w:cs="微软雅黑"/>
          <w:sz w:val="24"/>
          <w:highlight w:val="none"/>
        </w:rPr>
        <w:t>自行负责。</w:t>
      </w:r>
    </w:p>
    <w:p w14:paraId="14DF1278">
      <w:pPr>
        <w:spacing w:line="480" w:lineRule="exact"/>
        <w:rPr>
          <w:rFonts w:hint="eastAsia" w:ascii="微软雅黑" w:hAnsi="微软雅黑" w:eastAsia="微软雅黑" w:cs="微软雅黑"/>
          <w:b/>
          <w:bCs/>
          <w:sz w:val="24"/>
        </w:rPr>
      </w:pPr>
      <w:bookmarkStart w:id="92" w:name="_Toc487812048"/>
      <w:r>
        <w:rPr>
          <w:rFonts w:hint="eastAsia" w:ascii="微软雅黑" w:hAnsi="微软雅黑" w:eastAsia="微软雅黑" w:cs="微软雅黑"/>
          <w:b/>
          <w:bCs/>
          <w:sz w:val="24"/>
        </w:rPr>
        <w:t>十</w:t>
      </w:r>
      <w:r>
        <w:rPr>
          <w:rFonts w:hint="eastAsia" w:ascii="微软雅黑" w:hAnsi="微软雅黑" w:eastAsia="微软雅黑" w:cs="微软雅黑"/>
          <w:b/>
          <w:bCs/>
          <w:sz w:val="24"/>
          <w:lang w:val="en-US" w:eastAsia="zh-CN"/>
        </w:rPr>
        <w:t>一</w:t>
      </w:r>
      <w:r>
        <w:rPr>
          <w:rFonts w:hint="eastAsia" w:ascii="微软雅黑" w:hAnsi="微软雅黑" w:eastAsia="微软雅黑" w:cs="微软雅黑"/>
          <w:b/>
          <w:bCs/>
          <w:sz w:val="24"/>
        </w:rPr>
        <w:t>、附则</w:t>
      </w:r>
      <w:bookmarkEnd w:id="92"/>
    </w:p>
    <w:p w14:paraId="058A8575">
      <w:pPr>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11</w:t>
      </w:r>
      <w:r>
        <w:rPr>
          <w:rFonts w:hint="eastAsia" w:ascii="微软雅黑" w:hAnsi="微软雅黑" w:eastAsia="微软雅黑" w:cs="微软雅黑"/>
          <w:sz w:val="24"/>
        </w:rPr>
        <w:t>.1本技术协议与主合同均具有同等法律效力，如有冲突的部分，以主合同为准。</w:t>
      </w:r>
    </w:p>
    <w:p w14:paraId="01FC5119">
      <w:pPr>
        <w:spacing w:line="480" w:lineRule="exact"/>
        <w:rPr>
          <w:rFonts w:hint="eastAsia" w:ascii="微软雅黑" w:hAnsi="微软雅黑" w:eastAsia="微软雅黑" w:cs="微软雅黑"/>
          <w:sz w:val="24"/>
        </w:rPr>
      </w:pPr>
      <w:r>
        <w:rPr>
          <w:rFonts w:hint="eastAsia" w:ascii="微软雅黑" w:hAnsi="微软雅黑" w:eastAsia="微软雅黑" w:cs="微软雅黑"/>
          <w:sz w:val="24"/>
          <w:lang w:val="en-US" w:eastAsia="zh-CN"/>
        </w:rPr>
        <w:t>11</w:t>
      </w:r>
      <w:r>
        <w:rPr>
          <w:rFonts w:hint="eastAsia" w:ascii="微软雅黑" w:hAnsi="微软雅黑" w:eastAsia="微软雅黑" w:cs="微软雅黑"/>
          <w:sz w:val="24"/>
        </w:rPr>
        <w:t>.2本技术协议一式六份，</w:t>
      </w:r>
      <w:r>
        <w:rPr>
          <w:rFonts w:hint="eastAsia" w:ascii="微软雅黑" w:hAnsi="微软雅黑" w:eastAsia="微软雅黑" w:cs="微软雅黑"/>
          <w:sz w:val="24"/>
          <w:lang w:eastAsia="zh-CN"/>
        </w:rPr>
        <w:t>招标方</w:t>
      </w:r>
      <w:r>
        <w:rPr>
          <w:rFonts w:hint="eastAsia" w:ascii="微软雅黑" w:hAnsi="微软雅黑" w:eastAsia="微软雅黑" w:cs="微软雅黑"/>
          <w:sz w:val="24"/>
        </w:rPr>
        <w:t>执四份，</w:t>
      </w:r>
      <w:r>
        <w:rPr>
          <w:rFonts w:hint="eastAsia" w:ascii="微软雅黑" w:hAnsi="微软雅黑" w:eastAsia="微软雅黑" w:cs="微软雅黑"/>
          <w:sz w:val="24"/>
          <w:lang w:eastAsia="zh-CN"/>
        </w:rPr>
        <w:t>投标方</w:t>
      </w:r>
      <w:r>
        <w:rPr>
          <w:rFonts w:hint="eastAsia" w:ascii="微软雅黑" w:hAnsi="微软雅黑" w:eastAsia="微软雅黑" w:cs="微软雅黑"/>
          <w:sz w:val="24"/>
        </w:rPr>
        <w:t>执二份，自双方签字盖章之日起生效，均具有同等法律效力。</w:t>
      </w:r>
    </w:p>
    <w:p w14:paraId="18751E91">
      <w:pPr>
        <w:rPr>
          <w:rFonts w:hint="eastAsia" w:ascii="微软雅黑" w:hAnsi="微软雅黑" w:eastAsia="微软雅黑" w:cs="微软雅黑"/>
          <w:sz w:val="24"/>
        </w:rPr>
      </w:pPr>
      <w:r>
        <w:rPr>
          <w:rFonts w:hint="eastAsia" w:ascii="微软雅黑" w:hAnsi="微软雅黑" w:eastAsia="微软雅黑" w:cs="微软雅黑"/>
          <w:sz w:val="24"/>
        </w:rPr>
        <w:br w:type="page"/>
      </w:r>
    </w:p>
    <w:p w14:paraId="0D23E511">
      <w:pPr>
        <w:spacing w:line="48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sz w:val="24"/>
          <w:szCs w:val="24"/>
        </w:rPr>
        <w:t>附件</w:t>
      </w:r>
      <w:r>
        <w:rPr>
          <w:rFonts w:hint="eastAsia" w:ascii="微软雅黑" w:hAnsi="微软雅黑" w:eastAsia="微软雅黑" w:cs="微软雅黑"/>
          <w:b/>
          <w:bCs/>
          <w:sz w:val="24"/>
          <w:szCs w:val="24"/>
          <w:lang w:val="en-US" w:eastAsia="zh-CN"/>
        </w:rPr>
        <w:t>1</w:t>
      </w:r>
      <w:r>
        <w:rPr>
          <w:rFonts w:hint="eastAsia" w:ascii="微软雅黑" w:hAnsi="微软雅黑" w:eastAsia="微软雅黑" w:cs="微软雅黑"/>
          <w:b/>
          <w:bCs/>
          <w:sz w:val="24"/>
          <w:szCs w:val="24"/>
        </w:rPr>
        <w:t>：《施工安全环保管理协议》</w:t>
      </w:r>
    </w:p>
    <w:p w14:paraId="13B8322A">
      <w:pPr>
        <w:snapToGrid w:val="0"/>
        <w:ind w:firstLine="2881" w:firstLineChars="1200"/>
        <w:jc w:val="both"/>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施工安全环保管理协议</w:t>
      </w:r>
    </w:p>
    <w:p w14:paraId="7FB241DB">
      <w:pPr>
        <w:spacing w:before="72" w:beforeLines="25" w:after="72" w:afterLines="25" w:line="440" w:lineRule="exact"/>
        <w:ind w:left="0" w:leftChars="0" w:firstLine="0" w:firstLineChars="0"/>
        <w:rPr>
          <w:rFonts w:hint="eastAsia" w:ascii="微软雅黑" w:hAnsi="微软雅黑" w:eastAsia="微软雅黑" w:cs="微软雅黑"/>
          <w:color w:val="auto"/>
          <w:sz w:val="24"/>
          <w:u w:val="single"/>
        </w:rPr>
      </w:pPr>
      <w:r>
        <w:rPr>
          <w:rFonts w:hint="eastAsia" w:ascii="微软雅黑" w:hAnsi="微软雅黑" w:eastAsia="微软雅黑" w:cs="微软雅黑"/>
          <w:sz w:val="24"/>
          <w:szCs w:val="24"/>
        </w:rPr>
        <w:t>项目单位（以下简称甲方）：</w:t>
      </w:r>
      <w:r>
        <w:rPr>
          <w:rFonts w:hint="eastAsia" w:ascii="微软雅黑" w:hAnsi="微软雅黑" w:eastAsia="微软雅黑" w:cs="微软雅黑"/>
          <w:sz w:val="24"/>
          <w:szCs w:val="24"/>
          <w:u w:val="single"/>
        </w:rPr>
        <w:t xml:space="preserve"> </w:t>
      </w:r>
    </w:p>
    <w:p w14:paraId="115DC32F">
      <w:pPr>
        <w:spacing w:before="72" w:beforeLines="25" w:after="72" w:afterLines="25" w:line="440" w:lineRule="exact"/>
        <w:ind w:left="0" w:leftChars="0" w:firstLine="0" w:firstLineChars="0"/>
        <w:rPr>
          <w:rFonts w:hint="eastAsia" w:ascii="微软雅黑" w:hAnsi="微软雅黑" w:eastAsia="微软雅黑" w:cs="微软雅黑"/>
          <w:color w:val="auto"/>
          <w:sz w:val="24"/>
        </w:rPr>
      </w:pPr>
      <w:r>
        <w:rPr>
          <w:rFonts w:hint="eastAsia" w:ascii="微软雅黑" w:hAnsi="微软雅黑" w:eastAsia="微软雅黑" w:cs="微软雅黑"/>
          <w:sz w:val="24"/>
          <w:szCs w:val="24"/>
        </w:rPr>
        <w:t>施工单位（个人）（以下简称乙方）：</w:t>
      </w:r>
    </w:p>
    <w:p w14:paraId="4504AE19">
      <w:pPr>
        <w:widowControl/>
        <w:spacing w:before="145" w:beforeLines="50" w:after="145" w:afterLines="50" w:line="440" w:lineRule="exact"/>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为了切实落实安全生产的责任，确保人员在施工过程中的安全，依据《中华人民共和国安全生产法》第四十五、四十六条，《中华人民共和国消防法》及有关法律、法规，遵循平等、公平和诚实信用的原则，结合此次工程的具体情况，双方就经营安全生产管理协商达成一致，订立本协议。</w:t>
      </w:r>
    </w:p>
    <w:p w14:paraId="0648A0F7">
      <w:pPr>
        <w:snapToGrid w:val="0"/>
        <w:spacing w:before="145" w:beforeLines="50" w:after="145" w:afterLines="50" w:line="440" w:lineRule="exact"/>
        <w:ind w:firstLine="480" w:firstLineChars="200"/>
        <w:jc w:val="left"/>
        <w:outlineLvl w:val="0"/>
        <w:rPr>
          <w:rFonts w:hint="eastAsia" w:ascii="微软雅黑" w:hAnsi="微软雅黑" w:eastAsia="微软雅黑" w:cs="微软雅黑"/>
          <w:kern w:val="0"/>
          <w:sz w:val="24"/>
          <w:u w:val="single"/>
          <w:lang w:val="en-US" w:eastAsia="zh-CN"/>
        </w:rPr>
      </w:pPr>
      <w:r>
        <w:rPr>
          <w:rFonts w:hint="eastAsia" w:ascii="微软雅黑" w:hAnsi="微软雅黑" w:eastAsia="微软雅黑" w:cs="微软雅黑"/>
          <w:kern w:val="0"/>
          <w:sz w:val="24"/>
        </w:rPr>
        <w:t>1 项目名称</w:t>
      </w:r>
      <w:r>
        <w:rPr>
          <w:rFonts w:hint="eastAsia" w:ascii="微软雅黑" w:hAnsi="微软雅黑" w:eastAsia="微软雅黑" w:cs="微软雅黑"/>
          <w:kern w:val="0"/>
          <w:sz w:val="24"/>
          <w:u w:val="none"/>
        </w:rPr>
        <w:t>：</w:t>
      </w:r>
      <w:r>
        <w:rPr>
          <w:rFonts w:hint="eastAsia" w:ascii="微软雅黑" w:hAnsi="微软雅黑" w:eastAsia="微软雅黑" w:cs="微软雅黑"/>
          <w:b w:val="0"/>
          <w:kern w:val="0"/>
          <w:sz w:val="24"/>
          <w:szCs w:val="20"/>
          <w:u w:val="single"/>
          <w:lang w:eastAsia="zh-CN"/>
        </w:rPr>
        <w:t>宁夏中宁发电有限责任公司</w:t>
      </w:r>
      <w:r>
        <w:rPr>
          <w:rFonts w:hint="eastAsia" w:ascii="微软雅黑" w:hAnsi="微软雅黑" w:eastAsia="微软雅黑" w:cs="微软雅黑"/>
          <w:b w:val="0"/>
          <w:kern w:val="0"/>
          <w:sz w:val="24"/>
          <w:szCs w:val="20"/>
          <w:u w:val="single"/>
        </w:rPr>
        <w:t>202</w:t>
      </w:r>
      <w:r>
        <w:rPr>
          <w:rFonts w:hint="eastAsia" w:ascii="微软雅黑" w:hAnsi="微软雅黑" w:eastAsia="微软雅黑" w:cs="微软雅黑"/>
          <w:b w:val="0"/>
          <w:kern w:val="0"/>
          <w:sz w:val="24"/>
          <w:szCs w:val="20"/>
          <w:u w:val="single"/>
          <w:lang w:val="en-US" w:eastAsia="zh-CN"/>
        </w:rPr>
        <w:t>5</w:t>
      </w:r>
      <w:r>
        <w:rPr>
          <w:rFonts w:hint="eastAsia" w:ascii="微软雅黑" w:hAnsi="微软雅黑" w:eastAsia="微软雅黑" w:cs="微软雅黑"/>
          <w:b w:val="0"/>
          <w:kern w:val="0"/>
          <w:sz w:val="24"/>
          <w:szCs w:val="20"/>
          <w:u w:val="single"/>
        </w:rPr>
        <w:t>年输煤系统除铁器采购及安装项目</w:t>
      </w:r>
    </w:p>
    <w:p w14:paraId="03C25959">
      <w:pPr>
        <w:widowControl/>
        <w:spacing w:before="145" w:beforeLines="50" w:after="145" w:afterLines="50" w:line="440" w:lineRule="exact"/>
        <w:ind w:left="0" w:leftChars="0"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 甲方权利和义务</w:t>
      </w:r>
    </w:p>
    <w:p w14:paraId="07DEDEB6">
      <w:pPr>
        <w:widowControl/>
        <w:spacing w:before="145" w:beforeLines="50" w:after="145" w:afterLines="50" w:line="440" w:lineRule="exact"/>
        <w:ind w:left="0" w:leftChars="0"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2.1甲方负责对乙方作业场所安全生产、环保、消防、保卫等工作的统一监管与协调，有义务向乙方告知公司安全生产工作要求。</w:t>
      </w:r>
    </w:p>
    <w:p w14:paraId="6833ED00">
      <w:pPr>
        <w:widowControl/>
        <w:spacing w:before="145" w:beforeLines="50" w:after="145" w:afterLines="50" w:line="440" w:lineRule="exact"/>
        <w:ind w:left="0" w:leftChars="0"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2.2甲方有权对乙方作业现场进行安全、环保检查，对发现的不安全因素要求乙方进行限期或停工整改。</w:t>
      </w:r>
    </w:p>
    <w:p w14:paraId="4E7748FA">
      <w:pPr>
        <w:widowControl/>
        <w:spacing w:before="145" w:beforeLines="50" w:after="145" w:afterLines="50" w:line="440" w:lineRule="exact"/>
        <w:ind w:left="0" w:leftChars="0"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2.3甲方有权依照《相关方管理考核标准》和其他管理制度对乙方未限期整改和违规违章行为进行考核及经济处罚。</w:t>
      </w:r>
    </w:p>
    <w:p w14:paraId="20A08105">
      <w:pPr>
        <w:widowControl/>
        <w:spacing w:before="145" w:beforeLines="50" w:after="145" w:afterLines="50" w:line="440" w:lineRule="exact"/>
        <w:ind w:left="0" w:leftChars="0"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2.4发生以下情况或乙方责任造成的停工整顿，因停工造成的违约责任由乙方全部承担。</w:t>
      </w:r>
    </w:p>
    <w:p w14:paraId="3DC9CB23">
      <w:pPr>
        <w:pStyle w:val="31"/>
        <w:numPr>
          <w:ilvl w:val="0"/>
          <w:numId w:val="6"/>
        </w:numPr>
        <w:rPr>
          <w:rFonts w:hint="eastAsia" w:ascii="微软雅黑" w:hAnsi="微软雅黑" w:eastAsia="微软雅黑" w:cs="微软雅黑"/>
          <w:sz w:val="24"/>
          <w:szCs w:val="24"/>
        </w:rPr>
      </w:pPr>
      <w:r>
        <w:rPr>
          <w:rFonts w:hint="eastAsia" w:ascii="微软雅黑" w:hAnsi="微软雅黑" w:eastAsia="微软雅黑" w:cs="微软雅黑"/>
          <w:sz w:val="24"/>
          <w:szCs w:val="24"/>
        </w:rPr>
        <w:t>发生人身伤亡事故；</w:t>
      </w:r>
    </w:p>
    <w:p w14:paraId="5955C1C1">
      <w:pPr>
        <w:pStyle w:val="31"/>
        <w:numPr>
          <w:ilvl w:val="0"/>
          <w:numId w:val="6"/>
        </w:numPr>
        <w:rPr>
          <w:rFonts w:hint="eastAsia" w:ascii="微软雅黑" w:hAnsi="微软雅黑" w:eastAsia="微软雅黑" w:cs="微软雅黑"/>
          <w:sz w:val="24"/>
          <w:szCs w:val="24"/>
        </w:rPr>
      </w:pPr>
      <w:r>
        <w:rPr>
          <w:rFonts w:hint="eastAsia" w:ascii="微软雅黑" w:hAnsi="微软雅黑" w:eastAsia="微软雅黑" w:cs="微软雅黑"/>
          <w:sz w:val="24"/>
          <w:szCs w:val="24"/>
        </w:rPr>
        <w:t>发生施工机械、生产主设备严重损坏事故；</w:t>
      </w:r>
    </w:p>
    <w:p w14:paraId="52994B94">
      <w:pPr>
        <w:pStyle w:val="31"/>
        <w:numPr>
          <w:ilvl w:val="0"/>
          <w:numId w:val="6"/>
        </w:numPr>
        <w:rPr>
          <w:rFonts w:hint="eastAsia" w:ascii="微软雅黑" w:hAnsi="微软雅黑" w:eastAsia="微软雅黑" w:cs="微软雅黑"/>
          <w:sz w:val="24"/>
          <w:szCs w:val="24"/>
        </w:rPr>
      </w:pPr>
      <w:r>
        <w:rPr>
          <w:rFonts w:hint="eastAsia" w:ascii="微软雅黑" w:hAnsi="微软雅黑" w:eastAsia="微软雅黑" w:cs="微软雅黑"/>
          <w:sz w:val="24"/>
          <w:szCs w:val="24"/>
        </w:rPr>
        <w:t>施工现场发生火灾事故；</w:t>
      </w:r>
    </w:p>
    <w:p w14:paraId="10778F15">
      <w:pPr>
        <w:pStyle w:val="31"/>
        <w:numPr>
          <w:ilvl w:val="0"/>
          <w:numId w:val="6"/>
        </w:numPr>
        <w:rPr>
          <w:rFonts w:hint="eastAsia" w:ascii="微软雅黑" w:hAnsi="微软雅黑" w:eastAsia="微软雅黑" w:cs="微软雅黑"/>
          <w:sz w:val="24"/>
          <w:szCs w:val="24"/>
        </w:rPr>
      </w:pPr>
      <w:r>
        <w:rPr>
          <w:rFonts w:hint="eastAsia" w:ascii="微软雅黑" w:hAnsi="微软雅黑" w:eastAsia="微软雅黑" w:cs="微软雅黑"/>
          <w:sz w:val="24"/>
          <w:szCs w:val="24"/>
        </w:rPr>
        <w:t>发生违章作业、冒险作业不听劝告的；</w:t>
      </w:r>
    </w:p>
    <w:p w14:paraId="23074239">
      <w:pPr>
        <w:pStyle w:val="31"/>
        <w:numPr>
          <w:ilvl w:val="0"/>
          <w:numId w:val="6"/>
        </w:numPr>
        <w:rPr>
          <w:rFonts w:hint="eastAsia" w:ascii="微软雅黑" w:hAnsi="微软雅黑" w:eastAsia="微软雅黑" w:cs="微软雅黑"/>
          <w:sz w:val="24"/>
          <w:szCs w:val="24"/>
        </w:rPr>
      </w:pPr>
      <w:r>
        <w:rPr>
          <w:rFonts w:hint="eastAsia" w:ascii="微软雅黑" w:hAnsi="微软雅黑" w:eastAsia="微软雅黑" w:cs="微软雅黑"/>
          <w:sz w:val="24"/>
          <w:szCs w:val="24"/>
        </w:rPr>
        <w:t>施工现场脏、乱、差，不符合安全和文明施工要求的。</w:t>
      </w:r>
    </w:p>
    <w:p w14:paraId="2CA28F9B">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2.5乙方在协议期间如发生事故，甲方有权督促乙方立即报告当地政府相关部门，要求派人保护现场，并有权要求乙方提供事故调查书面结论及处理意见。</w:t>
      </w:r>
    </w:p>
    <w:p w14:paraId="17E41B60">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 乙方权利和义务</w:t>
      </w:r>
    </w:p>
    <w:p w14:paraId="43E7D711">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3.1遵守国家《安全生产法》、《环境保护法》及其配套法规和甲方公司《浙江吉利控股集团安全生产管理办法》、危险作业管理标准等各级各项安全环保规章制度。</w:t>
      </w:r>
    </w:p>
    <w:p w14:paraId="01A7B5B1">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3.2建立健全并落实安全环保管理制度和安全操作规程。HSE应急预案有针对性，应急装备齐全。对承包项目的质量、安全（包括施工作业、消防、环保、职业健康、交通、保卫等）承担相应责任。</w:t>
      </w:r>
    </w:p>
    <w:p w14:paraId="1EEEAC8B">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3.3 HSE组织机构健全。依法配备安全员。安全员、特种作业人员持证上岗。</w:t>
      </w:r>
    </w:p>
    <w:p w14:paraId="7FF64A6A">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3.4依法为从业人员缴纳工伤保险。</w:t>
      </w:r>
    </w:p>
    <w:p w14:paraId="282E0958">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3.5对接触职业危害的相关方从业人员，应安排岗前、岗中和离岗时的职业健康体检，并将检查结果如实告知从业人员。</w:t>
      </w:r>
    </w:p>
    <w:p w14:paraId="607BF43C">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3.6为作业人员配备合格适用的劳动防护用品并督促其正确使用。</w:t>
      </w:r>
    </w:p>
    <w:p w14:paraId="7733BA7F">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3.7不得安排有职业禁忌或职业病人员从事其所禁忌的作业。不得安排未成年工从事接触职业病危害的作业；不得安排孕期、哺乳期的女职工从事对本人和胎儿、婴儿有危害的作业。</w:t>
      </w:r>
    </w:p>
    <w:p w14:paraId="27A08F86">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3.8不得擅自将承包项目分包或转包他人，更不得将承包项目分包或转包不具备安全生产条件的单位和个人，一经发现甲方有权令其停工整顿或解除合同。</w:t>
      </w:r>
    </w:p>
    <w:p w14:paraId="12ADD45C">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3.9所用的机械、电器设备和线路必须符合有关安全技术规定要求，危险部位必须有安全可靠的防护装置。对于安全设施设备、特种设备依照法律法规和公司要求执行检查、维保等工作。</w:t>
      </w:r>
    </w:p>
    <w:p w14:paraId="73395567">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3.10物品放置、设备布置和各类临时设施均应符合安全、消防要求。不得占用消防安全通道，不得影响安全设备设施的正常使用。</w:t>
      </w:r>
    </w:p>
    <w:p w14:paraId="1B81CB31">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3.11从事各种活动时，应遵守企业安全生产要求，制订可靠的安全防范措施。不得违章指挥、违章作业、违反劳动纪律。</w:t>
      </w:r>
    </w:p>
    <w:p w14:paraId="4E96ED25">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3.12作业前对作业人员进行HSE教育和安全技术交底。经常组织安全学习活动，进行必要的安全检查，积极配合公司组织的安全环保检查和应急演练等主题活动。</w:t>
      </w:r>
    </w:p>
    <w:p w14:paraId="085E7DEA">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3.13乙方出入甲方区域，必须遵守甲方的门卫管理制度，不得拒绝甲方检查。进入甲方生产现场后，必须遵守甲方生产现场的安全环保要求。乙方不得在甲方区域内发生群体性事件。</w:t>
      </w:r>
    </w:p>
    <w:p w14:paraId="270D4882">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3.14乙方车辆出入，应遵守甲方车辆管理有关规定，防止交通事故发生，原、辅材料（包括垃圾）运输应符合有关规定，不得拒绝正常检查。</w:t>
      </w:r>
    </w:p>
    <w:p w14:paraId="5DF026D5">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3.15乙方人员未经甲方同意不得开动、使用甲方的任何设备设施、工器具，不得进入甲方各特殊危险场所及要害部门，否则因此给甲方造成的损失由乙方承担。</w:t>
      </w:r>
    </w:p>
    <w:p w14:paraId="49507CC3">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3.16如因工作需要，乙方借用甲方设备设施时必须遵守甲方的相关规定及操作规程。如因乙方原因造成设备设施损坏或人员伤害，由乙方承担因此造成的损失。</w:t>
      </w:r>
    </w:p>
    <w:p w14:paraId="1544A606">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3.17乙方对高空作业及生产作业现场的坑、沟、洞、易燃易爆场所，要有防范措施及明显标志。在进行有毒物、有机溶剂、粉尘、噪音等有害作业时，必须事前告之双方人员并制定安全施工计划。</w:t>
      </w:r>
    </w:p>
    <w:p w14:paraId="70F842FC">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3.18当发生两个及以上单位进行交叉作业时，乙方应首先与发生交叉作业的单位进行协商，保证安全作业。若协商不成，乙方应及时报知甲方，甲方负责统一协调、管理。</w:t>
      </w:r>
    </w:p>
    <w:p w14:paraId="4157637A">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3.19依照法规和公司要求处置固废、危险废弃物，不得出现污染大气环境、水体状况。</w:t>
      </w:r>
    </w:p>
    <w:p w14:paraId="11373983">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3.20发生不安全情况或人身伤亡事故，必须立即报告甲方的相关方主管部门和安全环保部门。</w:t>
      </w:r>
    </w:p>
    <w:p w14:paraId="2339E02A">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3.21在施工组织设计中编制安全技术措施和现场临时用电方案，依照法规应编制专项施工方案和要求进行专家评审的，应依照法规执行。</w:t>
      </w:r>
    </w:p>
    <w:p w14:paraId="553DE908">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3.22施工方必须告知施工主管部门后方可开展施工业务，并由施工主管部门规定其工作区域。未经许可不得进入与工作无关区域。</w:t>
      </w:r>
    </w:p>
    <w:p w14:paraId="3EAEEADB">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3.23落实防止伤害事故、环境污染事故的具体措施。有可能影响其他部门或人员作息或安全时应提前告知。</w:t>
      </w:r>
    </w:p>
    <w:p w14:paraId="279A2696">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3.24进入施工现场的施工人员应了解具体的工作内容；熟悉设备设施的生产特点和安全要求；了解周围环境和作业对象的潜在危险和应急措施；按国家和公司规定着装和佩戴防护用品，遵章守纪，不得做与工作无关的事情。</w:t>
      </w:r>
    </w:p>
    <w:p w14:paraId="38FB449A">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3.25施工方在施工过程中不得擅自更换工程技术管理人员、项目负责人、安全管理人员以及关系到施工安全及质量的特种作业人员。需要换人时须征得施工主管部门和安全环保部门同意，并进行安全教育。</w:t>
      </w:r>
    </w:p>
    <w:p w14:paraId="549CA7CA">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3.26施工方如遇安全状况不清时，应先停止工作，主动与施工主管部门联系。交叉施工作业时，施工主管部门联系相关单位进行协调安排。施工方不许擅自动用未经公司许可的工具、设备和其它装置。</w:t>
      </w:r>
    </w:p>
    <w:p w14:paraId="47CA22C5">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3.27在施工中需动用或拆除公司水、电、蒸汽、机电、设备、仪表、工艺装置、建筑物、地面、预留孔盖板，各类安全装置等 ，经施工主管部门许可后方可进行。</w:t>
      </w:r>
    </w:p>
    <w:p w14:paraId="078E7BEC">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3.28涉及动火作业、高空作业、有限空间作业、临时用电、吊装作业等危险作业时，施工方联系施工主管部门，依照危险作业管理制度办理审批手续后，方可进行作业。要求持证的作业人员必须随身携带国家颁发的特种作业证原件或复印件，且作业证在有效期内，以备查核。</w:t>
      </w:r>
    </w:p>
    <w:p w14:paraId="29418234">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3.29乙方在作业过程中必须服从甲方统一协调、管理。由于乙方未服从管理，违反本协议要求，造成人员伤害或财产损失的，由乙方承担。</w:t>
      </w:r>
    </w:p>
    <w:p w14:paraId="4D3695C0">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4 事故责任处理</w:t>
      </w:r>
    </w:p>
    <w:p w14:paraId="3D761A80">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4.1乙方按规定在生产作业过程中采取适当的安全防护措施，承担由于违章作业、管理不力、设备设施不良等过错造成的事故的责任和因此产生的一切费用及后果。</w:t>
      </w:r>
    </w:p>
    <w:p w14:paraId="3E00F794">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4.2乙方发生人员伤亡事故时，应保护好事故现场，并按国家、地方政府有关规定的程序，立即上报甲方和有关部门进行调查处理。甲方为抢救提供必要的条件，发生的费用由乙方承担。</w:t>
      </w:r>
    </w:p>
    <w:p w14:paraId="0301C514">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rPr>
        <w:t>5 其它事项</w:t>
      </w:r>
    </w:p>
    <w:p w14:paraId="2566A3EA">
      <w:pPr>
        <w:widowControl/>
        <w:snapToGrid w:val="0"/>
        <w:spacing w:before="145" w:beforeLines="50" w:after="145" w:afterLines="50" w:line="440" w:lineRule="exact"/>
        <w:ind w:left="0" w:leftChars="0" w:firstLine="0" w:firstLineChars="0"/>
        <w:jc w:val="left"/>
        <w:outlineLvl w:val="0"/>
        <w:rPr>
          <w:rFonts w:hint="eastAsia" w:ascii="微软雅黑" w:hAnsi="微软雅黑" w:eastAsia="微软雅黑" w:cs="微软雅黑"/>
          <w:kern w:val="0"/>
          <w:sz w:val="24"/>
        </w:rPr>
      </w:pPr>
      <w:r>
        <w:rPr>
          <w:rFonts w:hint="eastAsia" w:ascii="微软雅黑" w:hAnsi="微软雅黑" w:eastAsia="微软雅黑" w:cs="微软雅黑"/>
          <w:kern w:val="0"/>
          <w:sz w:val="24"/>
        </w:rPr>
        <w:t>5.1本协议作为</w:t>
      </w:r>
      <w:r>
        <w:rPr>
          <w:rFonts w:hint="eastAsia" w:ascii="微软雅黑" w:hAnsi="微软雅黑" w:eastAsia="微软雅黑" w:cs="微软雅黑"/>
          <w:b w:val="0"/>
          <w:kern w:val="0"/>
          <w:sz w:val="24"/>
          <w:szCs w:val="20"/>
          <w:u w:val="single"/>
          <w:lang w:eastAsia="zh-CN"/>
        </w:rPr>
        <w:t>宁夏中宁发电有限责任公司</w:t>
      </w:r>
      <w:r>
        <w:rPr>
          <w:rFonts w:hint="eastAsia" w:ascii="微软雅黑" w:hAnsi="微软雅黑" w:eastAsia="微软雅黑" w:cs="微软雅黑"/>
          <w:b w:val="0"/>
          <w:kern w:val="0"/>
          <w:sz w:val="24"/>
          <w:szCs w:val="20"/>
          <w:u w:val="single"/>
        </w:rPr>
        <w:t>202</w:t>
      </w:r>
      <w:r>
        <w:rPr>
          <w:rFonts w:hint="eastAsia" w:ascii="微软雅黑" w:hAnsi="微软雅黑" w:eastAsia="微软雅黑" w:cs="微软雅黑"/>
          <w:b w:val="0"/>
          <w:kern w:val="0"/>
          <w:sz w:val="24"/>
          <w:szCs w:val="20"/>
          <w:u w:val="single"/>
          <w:lang w:val="en-US" w:eastAsia="zh-CN"/>
        </w:rPr>
        <w:t>5</w:t>
      </w:r>
      <w:r>
        <w:rPr>
          <w:rFonts w:hint="eastAsia" w:ascii="微软雅黑" w:hAnsi="微软雅黑" w:eastAsia="微软雅黑" w:cs="微软雅黑"/>
          <w:b w:val="0"/>
          <w:kern w:val="0"/>
          <w:sz w:val="24"/>
          <w:szCs w:val="20"/>
          <w:u w:val="single"/>
        </w:rPr>
        <w:t>年输煤系统除铁器采购及安装项目</w:t>
      </w:r>
      <w:r>
        <w:rPr>
          <w:rFonts w:hint="eastAsia" w:ascii="微软雅黑" w:hAnsi="微软雅黑" w:eastAsia="微软雅黑" w:cs="微软雅黑"/>
          <w:kern w:val="0"/>
          <w:sz w:val="24"/>
          <w:u w:val="single"/>
          <w:lang w:val="en-US" w:eastAsia="zh-CN"/>
        </w:rPr>
        <w:t>合</w:t>
      </w:r>
      <w:r>
        <w:rPr>
          <w:rFonts w:hint="eastAsia" w:ascii="微软雅黑" w:hAnsi="微软雅黑" w:eastAsia="微软雅黑" w:cs="微软雅黑"/>
          <w:kern w:val="0"/>
          <w:sz w:val="24"/>
          <w:u w:val="single"/>
        </w:rPr>
        <w:t>同</w:t>
      </w:r>
      <w:r>
        <w:rPr>
          <w:rFonts w:hint="eastAsia" w:ascii="微软雅黑" w:hAnsi="微软雅黑" w:eastAsia="微软雅黑" w:cs="微软雅黑"/>
          <w:kern w:val="0"/>
          <w:sz w:val="24"/>
        </w:rPr>
        <w:t>附件；如与项目合同内容发生冲突，以项目合同内容为准。</w:t>
      </w:r>
    </w:p>
    <w:p w14:paraId="07E71258">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rPr>
      </w:pPr>
      <w:r>
        <w:rPr>
          <w:rFonts w:hint="eastAsia" w:ascii="微软雅黑" w:hAnsi="微软雅黑" w:eastAsia="微软雅黑" w:cs="微软雅黑"/>
          <w:kern w:val="0"/>
          <w:sz w:val="24"/>
          <w:lang w:val="en-US" w:eastAsia="zh-CN"/>
        </w:rPr>
        <w:t>5</w:t>
      </w:r>
      <w:r>
        <w:rPr>
          <w:rFonts w:hint="eastAsia" w:ascii="微软雅黑" w:hAnsi="微软雅黑" w:eastAsia="微软雅黑" w:cs="微软雅黑"/>
          <w:kern w:val="0"/>
          <w:sz w:val="24"/>
        </w:rPr>
        <w:t>.</w:t>
      </w:r>
      <w:r>
        <w:rPr>
          <w:rFonts w:hint="eastAsia" w:ascii="微软雅黑" w:hAnsi="微软雅黑" w:eastAsia="微软雅黑" w:cs="微软雅黑"/>
          <w:kern w:val="0"/>
          <w:sz w:val="24"/>
          <w:lang w:val="en-US" w:eastAsia="zh-CN"/>
        </w:rPr>
        <w:t>2</w:t>
      </w:r>
      <w:r>
        <w:rPr>
          <w:rFonts w:hint="eastAsia" w:ascii="微软雅黑" w:hAnsi="微软雅黑" w:eastAsia="微软雅黑" w:cs="微软雅黑"/>
          <w:kern w:val="0"/>
          <w:sz w:val="24"/>
        </w:rPr>
        <w:t>本协议与业务合同具有同等法律效力，作为业务合同的附件。</w:t>
      </w:r>
    </w:p>
    <w:p w14:paraId="06C5CA4C">
      <w:pPr>
        <w:widowControl/>
        <w:spacing w:before="145" w:beforeLines="50" w:after="145" w:afterLines="50" w:line="440" w:lineRule="exact"/>
        <w:ind w:left="0" w:leftChars="0" w:firstLine="0" w:firstLineChars="0"/>
        <w:rPr>
          <w:rFonts w:hint="eastAsia" w:ascii="微软雅黑" w:hAnsi="微软雅黑" w:eastAsia="微软雅黑" w:cs="微软雅黑"/>
          <w:sz w:val="24"/>
          <w:szCs w:val="24"/>
          <w:lang w:eastAsia="zh-CN"/>
        </w:rPr>
      </w:pPr>
      <w:r>
        <w:rPr>
          <w:rFonts w:hint="eastAsia" w:ascii="微软雅黑" w:hAnsi="微软雅黑" w:eastAsia="微软雅黑" w:cs="微软雅黑"/>
          <w:kern w:val="0"/>
          <w:sz w:val="24"/>
          <w:lang w:val="en-US" w:eastAsia="zh-CN"/>
        </w:rPr>
        <w:t>5.3</w:t>
      </w:r>
      <w:r>
        <w:rPr>
          <w:rFonts w:hint="eastAsia" w:ascii="微软雅黑" w:hAnsi="微软雅黑" w:eastAsia="微软雅黑" w:cs="微软雅黑"/>
          <w:sz w:val="24"/>
          <w:szCs w:val="24"/>
        </w:rPr>
        <w:t>业务合同生效的同时本协议一并生效</w:t>
      </w:r>
      <w:r>
        <w:rPr>
          <w:rFonts w:hint="eastAsia" w:ascii="微软雅黑" w:hAnsi="微软雅黑" w:eastAsia="微软雅黑" w:cs="微软雅黑"/>
          <w:sz w:val="24"/>
          <w:szCs w:val="24"/>
          <w:lang w:eastAsia="zh-CN"/>
        </w:rPr>
        <w:t>。</w:t>
      </w:r>
    </w:p>
    <w:p w14:paraId="2240FF27">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r>
        <w:rPr>
          <w:rFonts w:hint="eastAsia" w:ascii="微软雅黑" w:hAnsi="微软雅黑" w:eastAsia="微软雅黑" w:cs="微软雅黑"/>
          <w:kern w:val="0"/>
          <w:sz w:val="24"/>
          <w:lang w:val="en-US" w:eastAsia="zh-CN"/>
        </w:rPr>
        <w:t>甲  方：宁夏中宁发电有限责任公司    乙  方：</w:t>
      </w:r>
    </w:p>
    <w:p w14:paraId="40522946">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r>
        <w:rPr>
          <w:rFonts w:hint="eastAsia" w:ascii="微软雅黑" w:hAnsi="微软雅黑" w:eastAsia="微软雅黑" w:cs="微软雅黑"/>
          <w:kern w:val="0"/>
          <w:sz w:val="24"/>
          <w:lang w:val="en-US" w:eastAsia="zh-CN"/>
        </w:rPr>
        <w:t xml:space="preserve">                  </w:t>
      </w:r>
    </w:p>
    <w:p w14:paraId="625867F4">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r>
        <w:rPr>
          <w:rFonts w:hint="eastAsia" w:ascii="微软雅黑" w:hAnsi="微软雅黑" w:eastAsia="微软雅黑" w:cs="微软雅黑"/>
          <w:kern w:val="0"/>
          <w:sz w:val="24"/>
          <w:lang w:val="en-US" w:eastAsia="zh-CN"/>
        </w:rPr>
        <w:t xml:space="preserve"> </w:t>
      </w:r>
    </w:p>
    <w:p w14:paraId="032E5EB2">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p>
    <w:p w14:paraId="72E5F17E">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p>
    <w:p w14:paraId="3FAE55A3">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r>
        <w:rPr>
          <w:rFonts w:hint="eastAsia" w:ascii="微软雅黑" w:hAnsi="微软雅黑" w:eastAsia="微软雅黑" w:cs="微软雅黑"/>
          <w:kern w:val="0"/>
          <w:sz w:val="24"/>
          <w:lang w:val="en-US" w:eastAsia="zh-CN"/>
        </w:rPr>
        <w:t xml:space="preserve">                    </w:t>
      </w:r>
    </w:p>
    <w:p w14:paraId="1F6739FF">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r>
        <w:rPr>
          <w:rFonts w:hint="eastAsia" w:ascii="微软雅黑" w:hAnsi="微软雅黑" w:eastAsia="微软雅黑" w:cs="微软雅黑"/>
          <w:kern w:val="0"/>
          <w:sz w:val="24"/>
          <w:lang w:val="en-US" w:eastAsia="zh-CN"/>
        </w:rPr>
        <w:t>甲方代表（签字或盖章）：                乙方代表（签字或盖章）：</w:t>
      </w:r>
    </w:p>
    <w:p w14:paraId="12838923">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p>
    <w:p w14:paraId="79AE6DBD">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p>
    <w:p w14:paraId="346F4E4D">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p>
    <w:p w14:paraId="225FA60E">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p>
    <w:p w14:paraId="48D84005">
      <w:pPr>
        <w:widowControl/>
        <w:spacing w:before="145" w:beforeLines="50" w:after="145" w:afterLines="50" w:line="440" w:lineRule="exact"/>
        <w:ind w:left="0" w:leftChars="0" w:firstLine="0" w:firstLineChars="0"/>
        <w:rPr>
          <w:rFonts w:hint="eastAsia" w:ascii="微软雅黑" w:hAnsi="微软雅黑" w:eastAsia="微软雅黑" w:cs="微软雅黑"/>
          <w:kern w:val="0"/>
          <w:sz w:val="24"/>
          <w:lang w:val="en-US" w:eastAsia="zh-CN"/>
        </w:rPr>
      </w:pPr>
      <w:r>
        <w:rPr>
          <w:rFonts w:hint="eastAsia" w:ascii="微软雅黑" w:hAnsi="微软雅黑" w:eastAsia="微软雅黑" w:cs="微软雅黑"/>
          <w:kern w:val="0"/>
          <w:sz w:val="24"/>
          <w:lang w:val="en-US" w:eastAsia="zh-CN"/>
        </w:rPr>
        <w:t xml:space="preserve">  年     月      日                     年   月    日</w:t>
      </w:r>
    </w:p>
    <w:p w14:paraId="630B3D62">
      <w:pPr>
        <w:pStyle w:val="33"/>
        <w:rPr>
          <w:rFonts w:hint="eastAsia" w:ascii="微软雅黑" w:hAnsi="微软雅黑" w:eastAsia="微软雅黑" w:cs="微软雅黑"/>
          <w:bCs/>
          <w:color w:val="000000"/>
          <w:sz w:val="24"/>
          <w:szCs w:val="24"/>
        </w:rPr>
      </w:pPr>
    </w:p>
    <w:p w14:paraId="42B71A8F">
      <w:pPr>
        <w:rPr>
          <w:rFonts w:ascii="微软雅黑" w:hAnsi="微软雅黑" w:eastAsia="微软雅黑" w:cs="微软雅黑"/>
          <w:color w:val="auto"/>
          <w:highlight w:val="none"/>
        </w:rPr>
      </w:pPr>
    </w:p>
    <w:p w14:paraId="4854A969"/>
    <w:p w14:paraId="02EC4C1A"/>
    <w:sectPr>
      <w:headerReference r:id="rId4" w:type="first"/>
      <w:footerReference r:id="rId6" w:type="first"/>
      <w:headerReference r:id="rId3" w:type="default"/>
      <w:footerReference r:id="rId5" w:type="default"/>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体">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19598">
    <w:pPr>
      <w:pStyle w:val="18"/>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6A6905">
                          <w:pPr>
                            <w:pStyle w:val="18"/>
                            <w:rPr>
                              <w:rFonts w:hint="eastAsia" w:eastAsia="楷体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38</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YWiky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VhaKTICAABlBAAADgAAAAAAAAABACAAAAAfAQAAZHJzL2Uyb0RvYy54bWxQSwUG&#10;AAAAAAYABgBZAQAAwwUAAAAA&#10;">
              <v:fill on="f" focussize="0,0"/>
              <v:stroke on="f" weight="0.5pt"/>
              <v:imagedata o:title=""/>
              <o:lock v:ext="edit" aspectratio="f"/>
              <v:textbox inset="0mm,0mm,0mm,0mm" style="mso-fit-shape-to-text:t;">
                <w:txbxContent>
                  <w:p w14:paraId="5B6A6905">
                    <w:pPr>
                      <w:pStyle w:val="18"/>
                      <w:rPr>
                        <w:rFonts w:hint="eastAsia" w:eastAsia="楷体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38</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44</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A68">
    <w:pPr>
      <w:pStyle w:val="1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44F8E4">
                          <w:pPr>
                            <w:pStyle w:val="18"/>
                          </w:pPr>
                          <w:r>
                            <w:t xml:space="preserve">第 </w:t>
                          </w:r>
                          <w:r>
                            <w:fldChar w:fldCharType="begin"/>
                          </w:r>
                          <w:r>
                            <w:instrText xml:space="preserve"> PAGE  \* MERGEFORMAT </w:instrText>
                          </w:r>
                          <w:r>
                            <w:fldChar w:fldCharType="separate"/>
                          </w:r>
                          <w:r>
                            <w:t>37</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44F8E4">
                    <w:pPr>
                      <w:pStyle w:val="18"/>
                    </w:pPr>
                    <w:r>
                      <w:t xml:space="preserve">第 </w:t>
                    </w:r>
                    <w:r>
                      <w:fldChar w:fldCharType="begin"/>
                    </w:r>
                    <w:r>
                      <w:instrText xml:space="preserve"> PAGE  \* MERGEFORMAT </w:instrText>
                    </w:r>
                    <w:r>
                      <w:fldChar w:fldCharType="separate"/>
                    </w:r>
                    <w:r>
                      <w:t>37</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09660">
    <w:pPr>
      <w:pStyle w:val="19"/>
      <w:pBdr>
        <w:bottom w:val="none" w:color="auto" w:sz="0" w:space="1"/>
      </w:pBdr>
      <w:jc w:val="both"/>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0B8CF">
    <w:pPr>
      <w:pStyle w:val="19"/>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35AA7"/>
    <w:multiLevelType w:val="multilevel"/>
    <w:tmpl w:val="16835AA7"/>
    <w:lvl w:ilvl="0" w:tentative="0">
      <w:start w:val="1"/>
      <w:numFmt w:val="bullet"/>
      <w:lvlText w:val=""/>
      <w:lvlJc w:val="left"/>
      <w:pPr>
        <w:tabs>
          <w:tab w:val="left" w:pos="360"/>
        </w:tabs>
        <w:ind w:left="360" w:hanging="360"/>
      </w:pPr>
      <w:rPr>
        <w:rFonts w:hint="default" w:ascii="Symbol" w:hAnsi="Symbol"/>
        <w:sz w:val="16"/>
        <w:szCs w:val="16"/>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
    <w:nsid w:val="337B3D7B"/>
    <w:multiLevelType w:val="multilevel"/>
    <w:tmpl w:val="337B3D7B"/>
    <w:lvl w:ilvl="0" w:tentative="0">
      <w:start w:val="5"/>
      <w:numFmt w:val="decimal"/>
      <w:lvlText w:val="%1"/>
      <w:lvlJc w:val="left"/>
      <w:pPr>
        <w:tabs>
          <w:tab w:val="left" w:pos="360"/>
        </w:tabs>
        <w:ind w:left="360" w:hanging="360"/>
      </w:pPr>
      <w:rPr>
        <w:rFonts w:hint="eastAsia"/>
      </w:rPr>
    </w:lvl>
    <w:lvl w:ilvl="1" w:tentative="0">
      <w:start w:val="1"/>
      <w:numFmt w:val="decimal"/>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rPr>
    </w:lvl>
    <w:lvl w:ilvl="3" w:tentative="0">
      <w:start w:val="2"/>
      <w:numFmt w:val="decimal"/>
      <w:lvlText w:val="%1.%2.%3.%4"/>
      <w:lvlJc w:val="left"/>
      <w:pPr>
        <w:tabs>
          <w:tab w:val="left" w:pos="720"/>
        </w:tabs>
        <w:ind w:left="720" w:hanging="720"/>
      </w:pPr>
      <w:rPr>
        <w:rFonts w:hint="default" w:ascii="Times New Roman" w:hAnsi="Times New Roman"/>
        <w:sz w:val="22"/>
        <w:szCs w:val="22"/>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080"/>
        </w:tabs>
        <w:ind w:left="1080" w:hanging="1080"/>
      </w:pPr>
      <w:rPr>
        <w:rFonts w:hint="eastAsia"/>
      </w:rPr>
    </w:lvl>
    <w:lvl w:ilvl="6" w:tentative="0">
      <w:start w:val="1"/>
      <w:numFmt w:val="decimal"/>
      <w:lvlText w:val="%1.%2.%3.%4.%5.%6.%7"/>
      <w:lvlJc w:val="left"/>
      <w:pPr>
        <w:tabs>
          <w:tab w:val="left" w:pos="1440"/>
        </w:tabs>
        <w:ind w:left="1440" w:hanging="1440"/>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800"/>
        </w:tabs>
        <w:ind w:left="1800" w:hanging="1800"/>
      </w:pPr>
      <w:rPr>
        <w:rFonts w:hint="eastAsia"/>
      </w:rPr>
    </w:lvl>
  </w:abstractNum>
  <w:abstractNum w:abstractNumId="2">
    <w:nsid w:val="563A441E"/>
    <w:multiLevelType w:val="multilevel"/>
    <w:tmpl w:val="563A441E"/>
    <w:lvl w:ilvl="0" w:tentative="0">
      <w:start w:val="1"/>
      <w:numFmt w:val="upperLetter"/>
      <w:lvlText w:val="%1."/>
      <w:lvlJc w:val="left"/>
      <w:pPr>
        <w:ind w:left="840" w:hanging="420"/>
      </w:pPr>
    </w:lvl>
    <w:lvl w:ilvl="1" w:tentative="0">
      <w:start w:val="1"/>
      <w:numFmt w:val="upp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6B37A87"/>
    <w:multiLevelType w:val="multilevel"/>
    <w:tmpl w:val="76B37A87"/>
    <w:lvl w:ilvl="0" w:tentative="0">
      <w:start w:val="6"/>
      <w:numFmt w:val="decimal"/>
      <w:lvlText w:val="%1"/>
      <w:lvlJc w:val="left"/>
      <w:pPr>
        <w:tabs>
          <w:tab w:val="left" w:pos="360"/>
        </w:tabs>
        <w:ind w:left="360" w:hanging="360"/>
      </w:pPr>
      <w:rPr>
        <w:rFonts w:hint="default"/>
      </w:rPr>
    </w:lvl>
    <w:lvl w:ilvl="1" w:tentative="0">
      <w:start w:val="1"/>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4">
    <w:nsid w:val="7B387574"/>
    <w:multiLevelType w:val="multilevel"/>
    <w:tmpl w:val="7B387574"/>
    <w:lvl w:ilvl="0" w:tentative="0">
      <w:start w:val="7"/>
      <w:numFmt w:val="decimal"/>
      <w:lvlText w:val="%1"/>
      <w:lvlJc w:val="left"/>
      <w:pPr>
        <w:tabs>
          <w:tab w:val="left" w:pos="360"/>
        </w:tabs>
        <w:ind w:left="360" w:hanging="360"/>
      </w:pPr>
      <w:rPr>
        <w:rFonts w:hint="eastAsia"/>
      </w:rPr>
    </w:lvl>
    <w:lvl w:ilvl="1" w:tentative="0">
      <w:start w:val="2"/>
      <w:numFmt w:val="decimal"/>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720"/>
        </w:tabs>
        <w:ind w:left="720" w:hanging="720"/>
      </w:pPr>
      <w:rPr>
        <w:rFonts w:hint="default" w:ascii="Times New Roman" w:hAnsi="Times New Roman"/>
        <w:sz w:val="22"/>
        <w:szCs w:val="22"/>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080"/>
        </w:tabs>
        <w:ind w:left="1080" w:hanging="1080"/>
      </w:pPr>
      <w:rPr>
        <w:rFonts w:hint="eastAsia"/>
      </w:rPr>
    </w:lvl>
    <w:lvl w:ilvl="6" w:tentative="0">
      <w:start w:val="1"/>
      <w:numFmt w:val="decimal"/>
      <w:lvlText w:val="%1.%2.%3.%4.%5.%6.%7"/>
      <w:lvlJc w:val="left"/>
      <w:pPr>
        <w:tabs>
          <w:tab w:val="left" w:pos="1440"/>
        </w:tabs>
        <w:ind w:left="1440" w:hanging="1440"/>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800"/>
        </w:tabs>
        <w:ind w:left="1800" w:hanging="1800"/>
      </w:pPr>
      <w:rPr>
        <w:rFonts w:hint="eastAsia"/>
      </w:rPr>
    </w:lvl>
  </w:abstractNum>
  <w:abstractNum w:abstractNumId="5">
    <w:nsid w:val="7CFC35DD"/>
    <w:multiLevelType w:val="multilevel"/>
    <w:tmpl w:val="7CFC35DD"/>
    <w:lvl w:ilvl="0" w:tentative="0">
      <w:start w:val="1"/>
      <w:numFmt w:val="decimal"/>
      <w:pStyle w:val="6"/>
      <w:lvlText w:val="%1"/>
      <w:lvlJc w:val="left"/>
      <w:pPr>
        <w:tabs>
          <w:tab w:val="left" w:pos="1134"/>
        </w:tabs>
        <w:ind w:left="1134" w:hanging="1134"/>
      </w:pPr>
    </w:lvl>
    <w:lvl w:ilvl="1" w:tentative="0">
      <w:start w:val="1"/>
      <w:numFmt w:val="decimal"/>
      <w:lvlText w:val="%1.%2"/>
      <w:lvlJc w:val="left"/>
      <w:pPr>
        <w:tabs>
          <w:tab w:val="left" w:pos="1134"/>
        </w:tabs>
        <w:ind w:left="1134" w:hanging="1134"/>
      </w:pPr>
    </w:lvl>
    <w:lvl w:ilvl="2" w:tentative="0">
      <w:start w:val="1"/>
      <w:numFmt w:val="decimal"/>
      <w:lvlText w:val="%1.%2.%3"/>
      <w:lvlJc w:val="left"/>
      <w:pPr>
        <w:tabs>
          <w:tab w:val="left" w:pos="1134"/>
        </w:tabs>
        <w:ind w:left="1134" w:hanging="1134"/>
      </w:pPr>
    </w:lvl>
    <w:lvl w:ilvl="3" w:tentative="0">
      <w:start w:val="1"/>
      <w:numFmt w:val="decimal"/>
      <w:lvlText w:val="%1.%2.%3.%4"/>
      <w:lvlJc w:val="left"/>
      <w:pPr>
        <w:tabs>
          <w:tab w:val="left" w:pos="1134"/>
        </w:tabs>
        <w:ind w:left="1134" w:hanging="1134"/>
      </w:pPr>
    </w:lvl>
    <w:lvl w:ilvl="4" w:tentative="0">
      <w:start w:val="1"/>
      <w:numFmt w:val="decimal"/>
      <w:lvlText w:val="%1.%2.%3.%4.%5"/>
      <w:lvlJc w:val="left"/>
      <w:pPr>
        <w:tabs>
          <w:tab w:val="left" w:pos="1134"/>
        </w:tabs>
        <w:ind w:left="1134" w:hanging="1134"/>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5"/>
  </w:num>
  <w:num w:numId="2">
    <w:abstractNumId w:val="1"/>
  </w:num>
  <w:num w:numId="3">
    <w:abstractNumId w:val="3"/>
  </w:num>
  <w:num w:numId="4">
    <w:abstractNumId w:val="4"/>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jOTc1NWI1ZDUyNWJhMDNlMDc4MGQwM2Y5Nzg1OWUifQ=="/>
  </w:docVars>
  <w:rsids>
    <w:rsidRoot w:val="00680AFD"/>
    <w:rsid w:val="001909D8"/>
    <w:rsid w:val="00294959"/>
    <w:rsid w:val="002B6B2B"/>
    <w:rsid w:val="0044412D"/>
    <w:rsid w:val="00445417"/>
    <w:rsid w:val="0046643A"/>
    <w:rsid w:val="00680AFD"/>
    <w:rsid w:val="007127F6"/>
    <w:rsid w:val="0073743B"/>
    <w:rsid w:val="007F09BB"/>
    <w:rsid w:val="00874828"/>
    <w:rsid w:val="009F7FDF"/>
    <w:rsid w:val="00A42FDA"/>
    <w:rsid w:val="00B2210C"/>
    <w:rsid w:val="00C703EF"/>
    <w:rsid w:val="00E11E37"/>
    <w:rsid w:val="01C01652"/>
    <w:rsid w:val="01E22E0D"/>
    <w:rsid w:val="01EB3C6F"/>
    <w:rsid w:val="020E0761"/>
    <w:rsid w:val="030669BD"/>
    <w:rsid w:val="03385CB1"/>
    <w:rsid w:val="038839A2"/>
    <w:rsid w:val="03B629A7"/>
    <w:rsid w:val="03DA7C5D"/>
    <w:rsid w:val="041977CD"/>
    <w:rsid w:val="04555056"/>
    <w:rsid w:val="046C3FB8"/>
    <w:rsid w:val="049570A3"/>
    <w:rsid w:val="04FE0318"/>
    <w:rsid w:val="05176AE7"/>
    <w:rsid w:val="05316843"/>
    <w:rsid w:val="05414D40"/>
    <w:rsid w:val="05B216A5"/>
    <w:rsid w:val="05E700B0"/>
    <w:rsid w:val="05FA506E"/>
    <w:rsid w:val="063876A4"/>
    <w:rsid w:val="063966A6"/>
    <w:rsid w:val="065E4533"/>
    <w:rsid w:val="070677A2"/>
    <w:rsid w:val="076139C5"/>
    <w:rsid w:val="07BF560F"/>
    <w:rsid w:val="07D73814"/>
    <w:rsid w:val="07DA3A68"/>
    <w:rsid w:val="088D1676"/>
    <w:rsid w:val="090231FE"/>
    <w:rsid w:val="09397F6B"/>
    <w:rsid w:val="09470C12"/>
    <w:rsid w:val="09D242CD"/>
    <w:rsid w:val="0A7B0D00"/>
    <w:rsid w:val="0B4B0D95"/>
    <w:rsid w:val="0BE32B47"/>
    <w:rsid w:val="0CD8558C"/>
    <w:rsid w:val="0CE77FE6"/>
    <w:rsid w:val="0D221931"/>
    <w:rsid w:val="0D4304B7"/>
    <w:rsid w:val="0E41026A"/>
    <w:rsid w:val="0E4511F1"/>
    <w:rsid w:val="0E666FF9"/>
    <w:rsid w:val="0E946C29"/>
    <w:rsid w:val="0EA66546"/>
    <w:rsid w:val="0EE25758"/>
    <w:rsid w:val="0F62394E"/>
    <w:rsid w:val="10146626"/>
    <w:rsid w:val="10980035"/>
    <w:rsid w:val="10F2352F"/>
    <w:rsid w:val="114053BC"/>
    <w:rsid w:val="11471997"/>
    <w:rsid w:val="11A61BF1"/>
    <w:rsid w:val="11AD3165"/>
    <w:rsid w:val="11C01B30"/>
    <w:rsid w:val="11ED474E"/>
    <w:rsid w:val="12293FF7"/>
    <w:rsid w:val="1246448D"/>
    <w:rsid w:val="12B77AD2"/>
    <w:rsid w:val="13053004"/>
    <w:rsid w:val="13633415"/>
    <w:rsid w:val="1370283F"/>
    <w:rsid w:val="14C35058"/>
    <w:rsid w:val="14DE3D83"/>
    <w:rsid w:val="1588665D"/>
    <w:rsid w:val="15B041DD"/>
    <w:rsid w:val="16016E5F"/>
    <w:rsid w:val="16E00773"/>
    <w:rsid w:val="17797B1C"/>
    <w:rsid w:val="17897EFA"/>
    <w:rsid w:val="18E83CE8"/>
    <w:rsid w:val="19190DEE"/>
    <w:rsid w:val="19C46466"/>
    <w:rsid w:val="1A625F8F"/>
    <w:rsid w:val="1B2F5DC6"/>
    <w:rsid w:val="1B5919AE"/>
    <w:rsid w:val="1B625B4B"/>
    <w:rsid w:val="1C443C84"/>
    <w:rsid w:val="1CB0469F"/>
    <w:rsid w:val="1D29663A"/>
    <w:rsid w:val="1E1B0267"/>
    <w:rsid w:val="1EB86A4A"/>
    <w:rsid w:val="1FCC3BE6"/>
    <w:rsid w:val="1FF0266F"/>
    <w:rsid w:val="20D9403F"/>
    <w:rsid w:val="20DB6133"/>
    <w:rsid w:val="20E05E73"/>
    <w:rsid w:val="213E463A"/>
    <w:rsid w:val="217E3A8F"/>
    <w:rsid w:val="21940A62"/>
    <w:rsid w:val="224560E3"/>
    <w:rsid w:val="225F52F7"/>
    <w:rsid w:val="22A82B93"/>
    <w:rsid w:val="22E3725B"/>
    <w:rsid w:val="233964E9"/>
    <w:rsid w:val="23490ABF"/>
    <w:rsid w:val="234D2ED7"/>
    <w:rsid w:val="234F501A"/>
    <w:rsid w:val="24562855"/>
    <w:rsid w:val="24DD1E5E"/>
    <w:rsid w:val="252D6905"/>
    <w:rsid w:val="255302E8"/>
    <w:rsid w:val="25B35D33"/>
    <w:rsid w:val="264D65A6"/>
    <w:rsid w:val="26877768"/>
    <w:rsid w:val="268C5113"/>
    <w:rsid w:val="26997893"/>
    <w:rsid w:val="26E677F6"/>
    <w:rsid w:val="26EB763A"/>
    <w:rsid w:val="273C21F2"/>
    <w:rsid w:val="27405E94"/>
    <w:rsid w:val="27D74416"/>
    <w:rsid w:val="27E24C55"/>
    <w:rsid w:val="27EE71FD"/>
    <w:rsid w:val="28053BA4"/>
    <w:rsid w:val="282C2088"/>
    <w:rsid w:val="286A065B"/>
    <w:rsid w:val="28EB0CE3"/>
    <w:rsid w:val="294A5D88"/>
    <w:rsid w:val="29976359"/>
    <w:rsid w:val="29D479B7"/>
    <w:rsid w:val="2A011A71"/>
    <w:rsid w:val="2AD21587"/>
    <w:rsid w:val="2AD877EA"/>
    <w:rsid w:val="2AE87367"/>
    <w:rsid w:val="2BAC14D1"/>
    <w:rsid w:val="2BB2119E"/>
    <w:rsid w:val="2BC70B26"/>
    <w:rsid w:val="2C4F15D7"/>
    <w:rsid w:val="2C5A200C"/>
    <w:rsid w:val="2D2F6A9C"/>
    <w:rsid w:val="2D460E46"/>
    <w:rsid w:val="2DA2666D"/>
    <w:rsid w:val="2DC92BD6"/>
    <w:rsid w:val="2E2460BD"/>
    <w:rsid w:val="2E6F0FC6"/>
    <w:rsid w:val="2EE45C80"/>
    <w:rsid w:val="2EE61CA4"/>
    <w:rsid w:val="2F3808F6"/>
    <w:rsid w:val="2FCE58E8"/>
    <w:rsid w:val="2FF212FD"/>
    <w:rsid w:val="30060A4C"/>
    <w:rsid w:val="302F4003"/>
    <w:rsid w:val="308E5E1D"/>
    <w:rsid w:val="30982F57"/>
    <w:rsid w:val="324D0D71"/>
    <w:rsid w:val="327A62C9"/>
    <w:rsid w:val="33335AEC"/>
    <w:rsid w:val="335B3BC3"/>
    <w:rsid w:val="338D210F"/>
    <w:rsid w:val="349F4C0E"/>
    <w:rsid w:val="34C275BA"/>
    <w:rsid w:val="34D4414E"/>
    <w:rsid w:val="35714552"/>
    <w:rsid w:val="365928CF"/>
    <w:rsid w:val="36A24D76"/>
    <w:rsid w:val="36C94D6E"/>
    <w:rsid w:val="371A7C1A"/>
    <w:rsid w:val="374F17CA"/>
    <w:rsid w:val="387A1C41"/>
    <w:rsid w:val="387D1957"/>
    <w:rsid w:val="39FC247B"/>
    <w:rsid w:val="3A535D8A"/>
    <w:rsid w:val="3ABB6CF4"/>
    <w:rsid w:val="3AF76B8C"/>
    <w:rsid w:val="3B0B1EEC"/>
    <w:rsid w:val="3BD029B0"/>
    <w:rsid w:val="3C0A4415"/>
    <w:rsid w:val="3C150A1B"/>
    <w:rsid w:val="3C3F36E8"/>
    <w:rsid w:val="3DA908AC"/>
    <w:rsid w:val="3DC85B95"/>
    <w:rsid w:val="3E2249B2"/>
    <w:rsid w:val="3E4F1F1A"/>
    <w:rsid w:val="3EB70DA6"/>
    <w:rsid w:val="3EC8073D"/>
    <w:rsid w:val="3F695550"/>
    <w:rsid w:val="40014B52"/>
    <w:rsid w:val="4062731B"/>
    <w:rsid w:val="41ED6048"/>
    <w:rsid w:val="42B3231B"/>
    <w:rsid w:val="42E70468"/>
    <w:rsid w:val="444F2E2F"/>
    <w:rsid w:val="44513A7E"/>
    <w:rsid w:val="44670B79"/>
    <w:rsid w:val="44913B03"/>
    <w:rsid w:val="44B9174C"/>
    <w:rsid w:val="44D85896"/>
    <w:rsid w:val="46671001"/>
    <w:rsid w:val="4704060A"/>
    <w:rsid w:val="479D05DB"/>
    <w:rsid w:val="47DE7E29"/>
    <w:rsid w:val="48061D12"/>
    <w:rsid w:val="480954EB"/>
    <w:rsid w:val="48285ECD"/>
    <w:rsid w:val="48481167"/>
    <w:rsid w:val="48EF621D"/>
    <w:rsid w:val="49B54134"/>
    <w:rsid w:val="4AC5347F"/>
    <w:rsid w:val="4B3720C8"/>
    <w:rsid w:val="4B3C3B7C"/>
    <w:rsid w:val="4BE8161F"/>
    <w:rsid w:val="4BF6499B"/>
    <w:rsid w:val="4C861886"/>
    <w:rsid w:val="4CCB52E2"/>
    <w:rsid w:val="4D0A3535"/>
    <w:rsid w:val="4D885EC3"/>
    <w:rsid w:val="4DC86EA2"/>
    <w:rsid w:val="4E4665A2"/>
    <w:rsid w:val="4E5C3998"/>
    <w:rsid w:val="4EAE220D"/>
    <w:rsid w:val="4EF518DC"/>
    <w:rsid w:val="4FB37E89"/>
    <w:rsid w:val="4FC36378"/>
    <w:rsid w:val="4FD277E8"/>
    <w:rsid w:val="501A3E5C"/>
    <w:rsid w:val="505D00EE"/>
    <w:rsid w:val="50924631"/>
    <w:rsid w:val="51B814A3"/>
    <w:rsid w:val="51CF66ED"/>
    <w:rsid w:val="51E027AA"/>
    <w:rsid w:val="52A06C7F"/>
    <w:rsid w:val="52D77B49"/>
    <w:rsid w:val="53163E96"/>
    <w:rsid w:val="532153FF"/>
    <w:rsid w:val="538F54B2"/>
    <w:rsid w:val="53954379"/>
    <w:rsid w:val="53BC2CAC"/>
    <w:rsid w:val="53BE5B16"/>
    <w:rsid w:val="54AD25D8"/>
    <w:rsid w:val="55112B15"/>
    <w:rsid w:val="55611AFF"/>
    <w:rsid w:val="55671B54"/>
    <w:rsid w:val="557B18CF"/>
    <w:rsid w:val="55E90A52"/>
    <w:rsid w:val="5642177E"/>
    <w:rsid w:val="56D4209E"/>
    <w:rsid w:val="57130FC8"/>
    <w:rsid w:val="575D30C7"/>
    <w:rsid w:val="57BD36F4"/>
    <w:rsid w:val="582C5677"/>
    <w:rsid w:val="5A551913"/>
    <w:rsid w:val="5AC12B87"/>
    <w:rsid w:val="5BBB04C6"/>
    <w:rsid w:val="5C530C25"/>
    <w:rsid w:val="5C69388C"/>
    <w:rsid w:val="5C6D6EFB"/>
    <w:rsid w:val="5CCF0ACD"/>
    <w:rsid w:val="5CE53817"/>
    <w:rsid w:val="5DE47E5D"/>
    <w:rsid w:val="5EEC7088"/>
    <w:rsid w:val="5F024EF0"/>
    <w:rsid w:val="6044355A"/>
    <w:rsid w:val="60BA538E"/>
    <w:rsid w:val="610B4FE4"/>
    <w:rsid w:val="61590C79"/>
    <w:rsid w:val="622D74EA"/>
    <w:rsid w:val="62DA418E"/>
    <w:rsid w:val="62F3665E"/>
    <w:rsid w:val="632C3B98"/>
    <w:rsid w:val="646662F0"/>
    <w:rsid w:val="64930694"/>
    <w:rsid w:val="65D27C56"/>
    <w:rsid w:val="660F17DC"/>
    <w:rsid w:val="66736FA6"/>
    <w:rsid w:val="66CE0020"/>
    <w:rsid w:val="6748694F"/>
    <w:rsid w:val="67C05234"/>
    <w:rsid w:val="67EE4340"/>
    <w:rsid w:val="69550EBC"/>
    <w:rsid w:val="69B66851"/>
    <w:rsid w:val="69DB6064"/>
    <w:rsid w:val="6A5723DD"/>
    <w:rsid w:val="6A9F3ACF"/>
    <w:rsid w:val="6AA60A00"/>
    <w:rsid w:val="6C371121"/>
    <w:rsid w:val="6C907598"/>
    <w:rsid w:val="6E674388"/>
    <w:rsid w:val="6E7D0337"/>
    <w:rsid w:val="6E887BBE"/>
    <w:rsid w:val="6EC300CA"/>
    <w:rsid w:val="6F0C2190"/>
    <w:rsid w:val="6FA80AA0"/>
    <w:rsid w:val="6FE72C47"/>
    <w:rsid w:val="710507D6"/>
    <w:rsid w:val="71205D81"/>
    <w:rsid w:val="71261FF2"/>
    <w:rsid w:val="720F3205"/>
    <w:rsid w:val="72FF57FD"/>
    <w:rsid w:val="73DE1AF2"/>
    <w:rsid w:val="746760C0"/>
    <w:rsid w:val="7510623C"/>
    <w:rsid w:val="764F3C79"/>
    <w:rsid w:val="765026BD"/>
    <w:rsid w:val="766C3CAD"/>
    <w:rsid w:val="76AD3BDD"/>
    <w:rsid w:val="775064E1"/>
    <w:rsid w:val="775B4CE9"/>
    <w:rsid w:val="77B70EF4"/>
    <w:rsid w:val="78124468"/>
    <w:rsid w:val="78576114"/>
    <w:rsid w:val="787B4A58"/>
    <w:rsid w:val="788270DA"/>
    <w:rsid w:val="79425DBF"/>
    <w:rsid w:val="798B0C1F"/>
    <w:rsid w:val="798D7ED3"/>
    <w:rsid w:val="79AB1113"/>
    <w:rsid w:val="7A264D31"/>
    <w:rsid w:val="7A551317"/>
    <w:rsid w:val="7A7E25A0"/>
    <w:rsid w:val="7AB36893"/>
    <w:rsid w:val="7ACE23CA"/>
    <w:rsid w:val="7B445AA3"/>
    <w:rsid w:val="7C3D3992"/>
    <w:rsid w:val="7C41136B"/>
    <w:rsid w:val="7C70419F"/>
    <w:rsid w:val="7CD56F27"/>
    <w:rsid w:val="7D303D3D"/>
    <w:rsid w:val="7DA323A7"/>
    <w:rsid w:val="7FAD2BA1"/>
    <w:rsid w:val="7FC10A98"/>
    <w:rsid w:val="7FD32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楷体_GB2312" w:cs="Times New Roman"/>
      <w:kern w:val="2"/>
      <w:sz w:val="32"/>
      <w:lang w:val="en-US" w:eastAsia="zh-CN" w:bidi="ar-SA"/>
    </w:rPr>
  </w:style>
  <w:style w:type="paragraph" w:styleId="5">
    <w:name w:val="heading 1"/>
    <w:basedOn w:val="1"/>
    <w:next w:val="1"/>
    <w:autoRedefine/>
    <w:qFormat/>
    <w:uiPriority w:val="0"/>
    <w:pPr>
      <w:keepNext/>
      <w:jc w:val="center"/>
      <w:outlineLvl w:val="0"/>
    </w:pPr>
    <w:rPr>
      <w:rFonts w:ascii="Calibri" w:hAnsi="Calibri"/>
      <w:b/>
      <w:bCs/>
      <w:color w:val="FF0000"/>
      <w:szCs w:val="21"/>
    </w:rPr>
  </w:style>
  <w:style w:type="paragraph" w:styleId="6">
    <w:name w:val="heading 2"/>
    <w:basedOn w:val="1"/>
    <w:next w:val="1"/>
    <w:link w:val="52"/>
    <w:autoRedefine/>
    <w:qFormat/>
    <w:uiPriority w:val="0"/>
    <w:pPr>
      <w:keepNext/>
      <w:numPr>
        <w:ilvl w:val="0"/>
        <w:numId w:val="1"/>
      </w:numPr>
      <w:tabs>
        <w:tab w:val="left" w:pos="780"/>
      </w:tabs>
      <w:spacing w:line="400" w:lineRule="exact"/>
      <w:outlineLvl w:val="1"/>
    </w:pPr>
    <w:rPr>
      <w:rFonts w:ascii="Arial" w:hAnsi="Arial"/>
      <w:sz w:val="24"/>
      <w:szCs w:val="18"/>
    </w:rPr>
  </w:style>
  <w:style w:type="paragraph" w:styleId="7">
    <w:name w:val="heading 3"/>
    <w:basedOn w:val="2"/>
    <w:next w:val="2"/>
    <w:autoRedefine/>
    <w:unhideWhenUsed/>
    <w:qFormat/>
    <w:uiPriority w:val="9"/>
    <w:pPr>
      <w:keepNext/>
      <w:keepLines/>
      <w:spacing w:before="260" w:after="260" w:line="416" w:lineRule="auto"/>
      <w:outlineLvl w:val="2"/>
    </w:pPr>
    <w:rPr>
      <w:b/>
      <w:bCs/>
      <w:sz w:val="32"/>
      <w:szCs w:val="32"/>
    </w:rPr>
  </w:style>
  <w:style w:type="paragraph" w:styleId="8">
    <w:name w:val="heading 4"/>
    <w:basedOn w:val="1"/>
    <w:next w:val="1"/>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9">
    <w:name w:val="heading 5"/>
    <w:basedOn w:val="1"/>
    <w:next w:val="1"/>
    <w:autoRedefine/>
    <w:unhideWhenUsed/>
    <w:qFormat/>
    <w:uiPriority w:val="9"/>
    <w:pPr>
      <w:keepNext/>
      <w:keepLines/>
      <w:spacing w:before="280" w:after="290" w:line="376" w:lineRule="auto"/>
      <w:outlineLvl w:val="4"/>
    </w:pPr>
    <w:rPr>
      <w:b/>
      <w:bCs/>
      <w:sz w:val="28"/>
      <w:szCs w:val="28"/>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3"/>
    <w:next w:val="4"/>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正文（首行缩进两字）"/>
    <w:basedOn w:val="1"/>
    <w:autoRedefine/>
    <w:qFormat/>
    <w:uiPriority w:val="0"/>
    <w:rPr>
      <w:szCs w:val="21"/>
    </w:rPr>
  </w:style>
  <w:style w:type="paragraph" w:styleId="4">
    <w:name w:val="toc 2"/>
    <w:basedOn w:val="1"/>
    <w:next w:val="1"/>
    <w:autoRedefine/>
    <w:qFormat/>
    <w:uiPriority w:val="39"/>
    <w:pPr>
      <w:ind w:left="420" w:leftChars="200"/>
    </w:pPr>
  </w:style>
  <w:style w:type="paragraph" w:styleId="10">
    <w:name w:val="Normal Indent"/>
    <w:basedOn w:val="1"/>
    <w:autoRedefine/>
    <w:qFormat/>
    <w:uiPriority w:val="0"/>
    <w:pPr>
      <w:snapToGrid w:val="0"/>
      <w:spacing w:line="300" w:lineRule="auto"/>
      <w:ind w:firstLine="556"/>
    </w:pPr>
    <w:rPr>
      <w:rFonts w:ascii="仿宋_GB2312" w:eastAsia="仿宋_GB2312"/>
      <w:kern w:val="0"/>
    </w:rPr>
  </w:style>
  <w:style w:type="paragraph" w:styleId="11">
    <w:name w:val="annotation text"/>
    <w:basedOn w:val="1"/>
    <w:autoRedefine/>
    <w:qFormat/>
    <w:uiPriority w:val="0"/>
    <w:pPr>
      <w:jc w:val="left"/>
    </w:pPr>
  </w:style>
  <w:style w:type="paragraph" w:styleId="12">
    <w:name w:val="Body Text"/>
    <w:basedOn w:val="1"/>
    <w:next w:val="13"/>
    <w:autoRedefine/>
    <w:qFormat/>
    <w:uiPriority w:val="0"/>
    <w:pPr>
      <w:spacing w:after="120"/>
    </w:pPr>
  </w:style>
  <w:style w:type="paragraph" w:styleId="13">
    <w:name w:val="Body Text 2"/>
    <w:basedOn w:val="1"/>
    <w:next w:val="1"/>
    <w:qFormat/>
    <w:uiPriority w:val="0"/>
    <w:pPr>
      <w:spacing w:line="360" w:lineRule="auto"/>
      <w:jc w:val="both"/>
    </w:pPr>
    <w:rPr>
      <w:rFonts w:hAnsi="Times New Roman" w:cs="Times New Roman"/>
      <w:color w:val="FF0000"/>
      <w:kern w:val="2"/>
      <w:sz w:val="24"/>
      <w:szCs w:val="20"/>
      <w:lang w:eastAsia="zh-CN"/>
    </w:rPr>
  </w:style>
  <w:style w:type="paragraph" w:styleId="14">
    <w:name w:val="Body Text Indent"/>
    <w:basedOn w:val="1"/>
    <w:autoRedefine/>
    <w:qFormat/>
    <w:uiPriority w:val="0"/>
    <w:pPr>
      <w:ind w:firstLine="645"/>
    </w:pPr>
    <w:rPr>
      <w:rFonts w:ascii="楷体_GB2312"/>
    </w:rPr>
  </w:style>
  <w:style w:type="paragraph" w:styleId="15">
    <w:name w:val="Plain Text"/>
    <w:basedOn w:val="1"/>
    <w:autoRedefine/>
    <w:unhideWhenUsed/>
    <w:qFormat/>
    <w:uiPriority w:val="0"/>
    <w:rPr>
      <w:rFonts w:ascii="宋体" w:hAnsi="Calibri"/>
      <w:szCs w:val="21"/>
    </w:rPr>
  </w:style>
  <w:style w:type="paragraph" w:styleId="16">
    <w:name w:val="Date"/>
    <w:basedOn w:val="1"/>
    <w:next w:val="1"/>
    <w:autoRedefine/>
    <w:qFormat/>
    <w:uiPriority w:val="0"/>
    <w:rPr>
      <w:szCs w:val="20"/>
    </w:rPr>
  </w:style>
  <w:style w:type="paragraph" w:styleId="17">
    <w:name w:val="Body Text Indent 2"/>
    <w:basedOn w:val="1"/>
    <w:autoRedefine/>
    <w:qFormat/>
    <w:uiPriority w:val="99"/>
    <w:pPr>
      <w:ind w:firstLine="643" w:firstLineChars="201"/>
    </w:pPr>
    <w:rPr>
      <w:rFonts w:ascii="楷体_GB2312"/>
    </w:rPr>
  </w:style>
  <w:style w:type="paragraph" w:styleId="18">
    <w:name w:val="footer"/>
    <w:basedOn w:val="1"/>
    <w:autoRedefine/>
    <w:qFormat/>
    <w:uiPriority w:val="99"/>
    <w:pPr>
      <w:tabs>
        <w:tab w:val="center" w:pos="4153"/>
        <w:tab w:val="right" w:pos="8306"/>
      </w:tabs>
      <w:snapToGrid w:val="0"/>
      <w:jc w:val="left"/>
    </w:pPr>
    <w:rPr>
      <w:sz w:val="18"/>
    </w:rPr>
  </w:style>
  <w:style w:type="paragraph" w:styleId="19">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20">
    <w:name w:val="toc 1"/>
    <w:basedOn w:val="1"/>
    <w:next w:val="1"/>
    <w:autoRedefine/>
    <w:qFormat/>
    <w:uiPriority w:val="39"/>
    <w:rPr>
      <w:rFonts w:eastAsia="宋体"/>
    </w:rPr>
  </w:style>
  <w:style w:type="paragraph" w:styleId="21">
    <w:name w:val="Subtitle"/>
    <w:basedOn w:val="1"/>
    <w:next w:val="1"/>
    <w:autoRedefine/>
    <w:qFormat/>
    <w:uiPriority w:val="0"/>
    <w:pPr>
      <w:spacing w:before="240" w:after="60" w:line="312" w:lineRule="auto"/>
      <w:jc w:val="center"/>
      <w:outlineLvl w:val="1"/>
    </w:pPr>
    <w:rPr>
      <w:rFonts w:ascii="等线 Light" w:hAnsi="等线 Light" w:eastAsia="宋体"/>
      <w:b/>
      <w:bCs/>
      <w:kern w:val="28"/>
      <w:szCs w:val="32"/>
    </w:rPr>
  </w:style>
  <w:style w:type="paragraph" w:styleId="22">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3">
    <w:name w:val="Title"/>
    <w:basedOn w:val="1"/>
    <w:next w:val="1"/>
    <w:autoRedefine/>
    <w:qFormat/>
    <w:uiPriority w:val="0"/>
    <w:pPr>
      <w:spacing w:before="240" w:after="60"/>
      <w:jc w:val="center"/>
      <w:outlineLvl w:val="0"/>
    </w:pPr>
    <w:rPr>
      <w:rFonts w:ascii="等线 Light" w:hAnsi="等线 Light" w:eastAsia="宋体"/>
      <w:b/>
      <w:bCs/>
      <w:szCs w:val="32"/>
    </w:rPr>
  </w:style>
  <w:style w:type="paragraph" w:styleId="24">
    <w:name w:val="Body Text First Indent"/>
    <w:basedOn w:val="12"/>
    <w:next w:val="15"/>
    <w:autoRedefine/>
    <w:qFormat/>
    <w:uiPriority w:val="0"/>
    <w:pPr>
      <w:adjustRightInd/>
      <w:snapToGrid/>
      <w:spacing w:after="120" w:line="240" w:lineRule="auto"/>
      <w:ind w:firstLine="420" w:firstLineChars="100"/>
      <w:jc w:val="both"/>
    </w:pPr>
    <w:rPr>
      <w:rFonts w:ascii="Times New Roman" w:hAnsi="Times New Roman"/>
      <w:sz w:val="21"/>
      <w:szCs w:val="24"/>
    </w:rPr>
  </w:style>
  <w:style w:type="table" w:styleId="26">
    <w:name w:val="Table Grid"/>
    <w:basedOn w:val="2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autoRedefine/>
    <w:qFormat/>
    <w:uiPriority w:val="0"/>
  </w:style>
  <w:style w:type="character" w:styleId="29">
    <w:name w:val="Hyperlink"/>
    <w:autoRedefine/>
    <w:qFormat/>
    <w:uiPriority w:val="99"/>
    <w:rPr>
      <w:color w:val="0000FF"/>
      <w:u w:val="single"/>
    </w:rPr>
  </w:style>
  <w:style w:type="paragraph" w:customStyle="1" w:styleId="30">
    <w:name w:val="样式 样式 样式 正文文本 + 首行缩进:  2 字符1 + 首行缩进:  2 字符1 + 首行缩进:  2 字符"/>
    <w:basedOn w:val="1"/>
    <w:autoRedefine/>
    <w:qFormat/>
    <w:uiPriority w:val="0"/>
    <w:pPr>
      <w:autoSpaceDE w:val="0"/>
      <w:autoSpaceDN w:val="0"/>
      <w:adjustRightInd w:val="0"/>
      <w:spacing w:line="360" w:lineRule="auto"/>
      <w:ind w:firstLine="200" w:firstLineChars="200"/>
    </w:pPr>
    <w:rPr>
      <w:rFonts w:cs="宋体"/>
      <w:kern w:val="0"/>
      <w:sz w:val="28"/>
      <w:szCs w:val="20"/>
      <w:lang w:val="zh-CN"/>
    </w:rPr>
  </w:style>
  <w:style w:type="paragraph" w:styleId="31">
    <w:name w:val="List Paragraph"/>
    <w:basedOn w:val="1"/>
    <w:autoRedefine/>
    <w:qFormat/>
    <w:uiPriority w:val="34"/>
    <w:pPr>
      <w:ind w:firstLine="420" w:firstLineChars="200"/>
    </w:pPr>
  </w:style>
  <w:style w:type="paragraph" w:customStyle="1" w:styleId="32">
    <w:name w:val="样式1"/>
    <w:basedOn w:val="1"/>
    <w:autoRedefine/>
    <w:qFormat/>
    <w:uiPriority w:val="0"/>
    <w:rPr>
      <w:b/>
      <w:color w:val="538135"/>
      <w:sz w:val="28"/>
    </w:rPr>
  </w:style>
  <w:style w:type="paragraph" w:customStyle="1" w:styleId="33">
    <w:name w:val="四级标题"/>
    <w:basedOn w:val="16"/>
    <w:autoRedefine/>
    <w:qFormat/>
    <w:uiPriority w:val="0"/>
    <w:rPr>
      <w:rFonts w:eastAsia="黑体"/>
      <w:szCs w:val="22"/>
    </w:rPr>
  </w:style>
  <w:style w:type="paragraph" w:customStyle="1" w:styleId="34">
    <w:name w:val="表格"/>
    <w:basedOn w:val="1"/>
    <w:autoRedefine/>
    <w:qFormat/>
    <w:uiPriority w:val="0"/>
    <w:pPr>
      <w:adjustRightInd w:val="0"/>
      <w:spacing w:before="60" w:after="60"/>
      <w:jc w:val="center"/>
      <w:textAlignment w:val="baseline"/>
    </w:pPr>
    <w:rPr>
      <w:rFonts w:ascii="宋体"/>
      <w:kern w:val="0"/>
      <w:sz w:val="24"/>
    </w:rPr>
  </w:style>
  <w:style w:type="paragraph" w:customStyle="1" w:styleId="35">
    <w:name w:val="p0"/>
    <w:basedOn w:val="1"/>
    <w:autoRedefine/>
    <w:qFormat/>
    <w:uiPriority w:val="0"/>
    <w:pPr>
      <w:widowControl/>
    </w:pPr>
    <w:rPr>
      <w:kern w:val="0"/>
      <w:szCs w:val="21"/>
    </w:rPr>
  </w:style>
  <w:style w:type="paragraph" w:customStyle="1" w:styleId="36">
    <w:name w:val="WPSOffice手动目录 1"/>
    <w:autoRedefine/>
    <w:qFormat/>
    <w:uiPriority w:val="0"/>
    <w:rPr>
      <w:rFonts w:ascii="Times New Roman" w:hAnsi="Times New Roman" w:eastAsia="宋体" w:cs="Times New Roman"/>
      <w:lang w:val="en-US" w:eastAsia="zh-CN" w:bidi="ar-SA"/>
    </w:rPr>
  </w:style>
  <w:style w:type="paragraph" w:customStyle="1" w:styleId="37">
    <w:name w:val="xl31"/>
    <w:basedOn w:val="1"/>
    <w:autoRedefine/>
    <w:qFormat/>
    <w:uiPriority w:val="0"/>
    <w:pPr>
      <w:widowControl/>
      <w:spacing w:before="100" w:beforeAutospacing="1" w:after="100" w:afterAutospacing="1"/>
      <w:jc w:val="center"/>
      <w:textAlignment w:val="center"/>
    </w:pPr>
    <w:rPr>
      <w:rFonts w:hint="eastAsia" w:ascii="楷体_GB2312" w:hAnsi="宋体"/>
      <w:kern w:val="0"/>
      <w:sz w:val="24"/>
      <w:szCs w:val="24"/>
    </w:rPr>
  </w:style>
  <w:style w:type="paragraph" w:customStyle="1" w:styleId="38">
    <w:name w:val="样式2"/>
    <w:basedOn w:val="1"/>
    <w:autoRedefine/>
    <w:qFormat/>
    <w:uiPriority w:val="0"/>
    <w:pPr>
      <w:adjustRightInd w:val="0"/>
      <w:spacing w:line="410" w:lineRule="atLeast"/>
      <w:jc w:val="left"/>
    </w:pPr>
    <w:rPr>
      <w:kern w:val="0"/>
      <w:sz w:val="24"/>
    </w:rPr>
  </w:style>
  <w:style w:type="paragraph" w:customStyle="1" w:styleId="39">
    <w:name w:val="正文1"/>
    <w:basedOn w:val="1"/>
    <w:autoRedefine/>
    <w:qFormat/>
    <w:uiPriority w:val="0"/>
    <w:pPr>
      <w:adjustRightInd w:val="0"/>
      <w:spacing w:line="360" w:lineRule="atLeast"/>
      <w:jc w:val="left"/>
    </w:pPr>
    <w:rPr>
      <w:rFonts w:ascii="宋体"/>
      <w:kern w:val="0"/>
      <w:sz w:val="24"/>
    </w:rPr>
  </w:style>
  <w:style w:type="paragraph" w:customStyle="1" w:styleId="40">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41">
    <w:name w:val="(1)"/>
    <w:basedOn w:val="1"/>
    <w:autoRedefine/>
    <w:qFormat/>
    <w:uiPriority w:val="0"/>
    <w:pPr>
      <w:adjustRightInd w:val="0"/>
      <w:snapToGrid w:val="0"/>
      <w:textAlignment w:val="baseline"/>
    </w:pPr>
    <w:rPr>
      <w:rFonts w:eastAsia="仿宋体"/>
      <w:color w:val="000000"/>
      <w:kern w:val="0"/>
      <w:sz w:val="24"/>
    </w:rPr>
  </w:style>
  <w:style w:type="paragraph" w:styleId="42">
    <w:name w:val="No Spacing"/>
    <w:autoRedefine/>
    <w:qFormat/>
    <w:uiPriority w:val="1"/>
    <w:pPr>
      <w:widowControl w:val="0"/>
      <w:jc w:val="both"/>
    </w:pPr>
    <w:rPr>
      <w:rFonts w:ascii="Times New Roman" w:hAnsi="Times New Roman" w:eastAsia="宋体" w:cs="Times New Roman"/>
      <w:szCs w:val="24"/>
      <w:lang w:val="en-US" w:eastAsia="zh-CN" w:bidi="ar-SA"/>
    </w:rPr>
  </w:style>
  <w:style w:type="paragraph" w:customStyle="1" w:styleId="43">
    <w:name w:val="样式 标题 2 + Times New Roman 四号 非加粗 段前: 5 磅 段后: 0 磅 行距: 固定值 20..."/>
    <w:basedOn w:val="6"/>
    <w:autoRedefine/>
    <w:qFormat/>
    <w:uiPriority w:val="0"/>
    <w:pPr>
      <w:tabs>
        <w:tab w:val="clear" w:pos="780"/>
      </w:tabs>
      <w:spacing w:before="100"/>
    </w:pPr>
    <w:rPr>
      <w:rFonts w:ascii="Times New Roman" w:hAnsi="Times New Roman" w:eastAsia="黑体" w:cs="宋体"/>
      <w:sz w:val="28"/>
      <w:szCs w:val="20"/>
    </w:rPr>
  </w:style>
  <w:style w:type="character" w:customStyle="1" w:styleId="44">
    <w:name w:val="font31"/>
    <w:basedOn w:val="27"/>
    <w:autoRedefine/>
    <w:qFormat/>
    <w:uiPriority w:val="0"/>
    <w:rPr>
      <w:rFonts w:hint="default" w:ascii="等线" w:hAnsi="等线" w:eastAsia="等线" w:cs="等线"/>
      <w:b/>
      <w:bCs/>
      <w:color w:val="000000"/>
      <w:sz w:val="28"/>
      <w:szCs w:val="28"/>
      <w:u w:val="none"/>
    </w:rPr>
  </w:style>
  <w:style w:type="character" w:customStyle="1" w:styleId="45">
    <w:name w:val="font11"/>
    <w:basedOn w:val="27"/>
    <w:autoRedefine/>
    <w:qFormat/>
    <w:uiPriority w:val="0"/>
    <w:rPr>
      <w:rFonts w:hint="default" w:ascii="等线" w:hAnsi="等线" w:eastAsia="等线" w:cs="等线"/>
      <w:b/>
      <w:bCs/>
      <w:color w:val="000000"/>
      <w:sz w:val="22"/>
      <w:szCs w:val="22"/>
      <w:u w:val="none"/>
    </w:rPr>
  </w:style>
  <w:style w:type="character" w:customStyle="1" w:styleId="46">
    <w:name w:val="font51"/>
    <w:basedOn w:val="27"/>
    <w:autoRedefine/>
    <w:qFormat/>
    <w:uiPriority w:val="0"/>
    <w:rPr>
      <w:rFonts w:hint="default" w:ascii="等线" w:hAnsi="等线" w:eastAsia="等线" w:cs="等线"/>
      <w:b/>
      <w:bCs/>
      <w:color w:val="FF0000"/>
      <w:sz w:val="28"/>
      <w:szCs w:val="28"/>
      <w:u w:val="none"/>
    </w:rPr>
  </w:style>
  <w:style w:type="paragraph" w:customStyle="1" w:styleId="47">
    <w:name w:val="引言二级条标题"/>
    <w:basedOn w:val="48"/>
    <w:next w:val="49"/>
    <w:autoRedefine/>
    <w:qFormat/>
    <w:uiPriority w:val="99"/>
    <w:pPr>
      <w:tabs>
        <w:tab w:val="left" w:pos="1140"/>
      </w:tabs>
    </w:pPr>
  </w:style>
  <w:style w:type="paragraph" w:customStyle="1" w:styleId="48">
    <w:name w:val="引言一级条标题"/>
    <w:basedOn w:val="1"/>
    <w:next w:val="49"/>
    <w:autoRedefine/>
    <w:qFormat/>
    <w:uiPriority w:val="99"/>
    <w:pPr>
      <w:widowControl/>
      <w:tabs>
        <w:tab w:val="left" w:pos="1140"/>
      </w:tabs>
    </w:pPr>
    <w:rPr>
      <w:rFonts w:eastAsia="黑体"/>
      <w:b/>
      <w:bCs/>
      <w:szCs w:val="21"/>
    </w:rPr>
  </w:style>
  <w:style w:type="paragraph" w:customStyle="1" w:styleId="49">
    <w:name w:val="段"/>
    <w:autoRedefine/>
    <w:qFormat/>
    <w:uiPriority w:val="99"/>
    <w:pPr>
      <w:ind w:firstLine="200" w:firstLineChars="200"/>
      <w:jc w:val="both"/>
    </w:pPr>
    <w:rPr>
      <w:rFonts w:ascii="宋体" w:hAnsi="Times New Roman" w:eastAsia="宋体" w:cs="Times New Roman"/>
      <w:kern w:val="2"/>
      <w:sz w:val="21"/>
      <w:szCs w:val="21"/>
      <w:lang w:val="en-US" w:eastAsia="zh-CN" w:bidi="ar-SA"/>
    </w:rPr>
  </w:style>
  <w:style w:type="paragraph" w:customStyle="1" w:styleId="50">
    <w:name w:val="表格文字左"/>
    <w:autoRedefine/>
    <w:qFormat/>
    <w:uiPriority w:val="0"/>
    <w:pPr>
      <w:adjustRightInd w:val="0"/>
      <w:snapToGrid w:val="0"/>
      <w:spacing w:after="0" w:line="240" w:lineRule="auto"/>
    </w:pPr>
    <w:rPr>
      <w:rFonts w:ascii="Times New Roman" w:hAnsi="Times New Roman" w:eastAsia="宋体" w:cs="Times New Roman"/>
      <w:kern w:val="2"/>
      <w:sz w:val="15"/>
      <w:szCs w:val="20"/>
      <w:lang w:val="en-US" w:eastAsia="zh-CN" w:bidi="ar-SA"/>
    </w:rPr>
  </w:style>
  <w:style w:type="paragraph" w:customStyle="1" w:styleId="51">
    <w:name w:val="0方案正文"/>
    <w:autoRedefine/>
    <w:qFormat/>
    <w:uiPriority w:val="0"/>
    <w:pPr>
      <w:spacing w:after="0" w:line="360" w:lineRule="auto"/>
      <w:ind w:firstLine="200" w:firstLineChars="200"/>
      <w:jc w:val="both"/>
    </w:pPr>
    <w:rPr>
      <w:rFonts w:ascii="Times New Roman" w:hAnsi="Times New Roman" w:eastAsia="宋体" w:cstheme="minorBidi"/>
      <w:kern w:val="2"/>
      <w:sz w:val="21"/>
      <w:szCs w:val="21"/>
      <w:lang w:val="en-US" w:eastAsia="zh-CN" w:bidi="ar-SA"/>
    </w:rPr>
  </w:style>
  <w:style w:type="character" w:customStyle="1" w:styleId="52">
    <w:name w:val="标题 2 Char"/>
    <w:basedOn w:val="27"/>
    <w:link w:val="6"/>
    <w:autoRedefine/>
    <w:semiHidden/>
    <w:qFormat/>
    <w:uiPriority w:val="9"/>
    <w:rPr>
      <w:rFonts w:ascii="Arial" w:hAnsi="Arial"/>
      <w:sz w:val="24"/>
      <w:szCs w:val="18"/>
    </w:rPr>
  </w:style>
  <w:style w:type="character" w:customStyle="1" w:styleId="53">
    <w:name w:val="font01"/>
    <w:basedOn w:val="27"/>
    <w:autoRedefine/>
    <w:qFormat/>
    <w:uiPriority w:val="0"/>
    <w:rPr>
      <w:rFonts w:hint="eastAsia" w:ascii="宋体" w:hAnsi="宋体" w:eastAsia="宋体" w:cs="宋体"/>
      <w:color w:val="000000"/>
      <w:sz w:val="24"/>
      <w:szCs w:val="24"/>
      <w:u w:val="none"/>
    </w:rPr>
  </w:style>
  <w:style w:type="character" w:customStyle="1" w:styleId="54">
    <w:name w:val="font61"/>
    <w:basedOn w:val="27"/>
    <w:autoRedefine/>
    <w:qFormat/>
    <w:uiPriority w:val="0"/>
    <w:rPr>
      <w:rFonts w:ascii="Calibri" w:hAnsi="Calibri" w:cs="Calibri"/>
      <w:color w:val="000000"/>
      <w:sz w:val="21"/>
      <w:szCs w:val="21"/>
      <w:u w:val="none"/>
    </w:rPr>
  </w:style>
  <w:style w:type="character" w:customStyle="1" w:styleId="55">
    <w:name w:val="font41"/>
    <w:basedOn w:val="27"/>
    <w:autoRedefine/>
    <w:qFormat/>
    <w:uiPriority w:val="0"/>
    <w:rPr>
      <w:rFonts w:hint="eastAsia" w:ascii="宋体" w:hAnsi="宋体" w:eastAsia="宋体" w:cs="宋体"/>
      <w:color w:val="000000"/>
      <w:sz w:val="21"/>
      <w:szCs w:val="21"/>
      <w:u w:val="none"/>
    </w:rPr>
  </w:style>
  <w:style w:type="paragraph" w:customStyle="1" w:styleId="56">
    <w:name w:val="9月3日新正文"/>
    <w:basedOn w:val="1"/>
    <w:autoRedefine/>
    <w:qFormat/>
    <w:uiPriority w:val="0"/>
    <w:pPr>
      <w:autoSpaceDE w:val="0"/>
      <w:autoSpaceDN w:val="0"/>
      <w:snapToGrid w:val="0"/>
      <w:spacing w:line="440" w:lineRule="atLeast"/>
      <w:ind w:firstLine="200" w:firstLineChars="200"/>
      <w:jc w:val="center"/>
      <w:textAlignment w:val="auto"/>
    </w:pPr>
    <w:rPr>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11842</Words>
  <Characters>12804</Characters>
  <Lines>155</Lines>
  <Paragraphs>43</Paragraphs>
  <TotalTime>0</TotalTime>
  <ScaleCrop>false</ScaleCrop>
  <LinksUpToDate>false</LinksUpToDate>
  <CharactersWithSpaces>13019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2020-04-04T09:54:00Z</dcterms:created>
  <dc:creator>nrm</dc:creator>
  <cp:lastModifiedBy>冀小红</cp:lastModifiedBy>
  <cp:lastPrinted>2024-06-26T06:48:00Z</cp:lastPrinted>
  <dcterms:modified xsi:type="dcterms:W3CDTF">2026-01-07T09:11:22Z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8AECDF4CFDE6483E84379A0AB9068EFE_13</vt:lpwstr>
  </property>
  <property fmtid="{D5CDD505-2E9C-101B-9397-08002B2CF9AE}" pid="4" name="KSOTemplateDocerSaveRecord">
    <vt:lpwstr>eyJoZGlkIjoiY2Y1NjY4NTFiY2FkMzY4MDQxNDc1OWY0MjJhODljZTIifQ==</vt:lpwstr>
  </property>
</Properties>
</file>